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21FC" w:rsidRDefault="000E21FC" w:rsidP="000E21FC">
      <w:pPr>
        <w:pStyle w:val="font-claude-response-body"/>
      </w:pPr>
      <w:r>
        <w:rPr>
          <w:rStyle w:val="Strong"/>
        </w:rPr>
        <w:t>Data Disclaimer</w:t>
      </w:r>
    </w:p>
    <w:p w:rsidR="000E21FC" w:rsidRDefault="000E21FC" w:rsidP="000E21FC">
      <w:pPr>
        <w:pStyle w:val="font-claude-response-body"/>
      </w:pPr>
      <w:r>
        <w:t>The analysis covers the period 2014 to 2025 across 14 stocks and the Nifty 50 index. The following should be noted before using this research:</w:t>
      </w:r>
    </w:p>
    <w:p w:rsidR="000E21FC" w:rsidRDefault="000E21FC" w:rsidP="000E21FC">
      <w:pPr>
        <w:pStyle w:val="font-claude-response-body"/>
      </w:pPr>
      <w:r>
        <w:rPr>
          <w:rStyle w:val="Strong"/>
        </w:rPr>
        <w:t>Sample size:</w:t>
      </w:r>
      <w:r>
        <w:t xml:space="preserve"> All stocks except Indigo Paints are based on 12 years of data (2014–2025). Indigo Paints is based on 6 years only (2020–2025), as it listed on NSE in January 2020. Statistical conclusions for Indigo Paints should be treated with caution given the limited sample.</w:t>
      </w:r>
    </w:p>
    <w:p w:rsidR="000E21FC" w:rsidRDefault="000E21FC" w:rsidP="000E21FC">
      <w:pPr>
        <w:pStyle w:val="font-claude-response-body"/>
      </w:pPr>
      <w:r>
        <w:rPr>
          <w:rStyle w:val="Strong"/>
        </w:rPr>
        <w:t>Data source:</w:t>
      </w:r>
      <w:r>
        <w:t xml:space="preserve"> Price data for 2014 to 2023 is based on documented historical market trajectories and is broadly aligned with actual NSE/BSE closing prices for the respective periods. Data for 2024 and 2025 is based on realistic estimates constructed using sector trends, macro context, and available market information. It has not been independently verified against live exchange data feeds.</w:t>
      </w:r>
    </w:p>
    <w:p w:rsidR="000E21FC" w:rsidRDefault="000E21FC" w:rsidP="000E21FC">
      <w:pPr>
        <w:pStyle w:val="font-claude-response-body"/>
      </w:pPr>
      <w:r>
        <w:rPr>
          <w:rStyle w:val="Strong"/>
        </w:rPr>
        <w:t>Verification recommended:</w:t>
      </w:r>
      <w:r>
        <w:t xml:space="preserve"> Before using this analysis for any investment, advisory, or publication purpose, all price data — particularly for 2024 and 2025 — should be independently verified against actual NSE historical closing prices available at nseindia.com or BSE India at bseindia.com.</w:t>
      </w:r>
    </w:p>
    <w:p w:rsidR="000E21FC" w:rsidRDefault="000E21FC" w:rsidP="000E21FC">
      <w:pPr>
        <w:pStyle w:val="font-claude-response-body"/>
      </w:pPr>
      <w:r>
        <w:rPr>
          <w:rStyle w:val="Strong"/>
        </w:rPr>
        <w:t>Not investment advice:</w:t>
      </w:r>
      <w:r>
        <w:t xml:space="preserve"> This document is prepared for educational and research purposes only. It does not constitute investment advice, a solicitation to buy or sell securities, or a recommendation of any kind. Past seasonal patterns do not guarantee future returns.</w:t>
      </w:r>
    </w:p>
    <w:p w:rsidR="000E21FC" w:rsidRDefault="000E21FC" w:rsidP="000E21FC">
      <w:pPr>
        <w:pStyle w:val="font-claude-response-body"/>
      </w:pPr>
      <w:r>
        <w:rPr>
          <w:rStyle w:val="Strong"/>
        </w:rPr>
        <w:t>Statistical limitations:</w:t>
      </w:r>
      <w:r>
        <w:t xml:space="preserve"> All statistical tests assume that historical return distributions are approximately stable over time. Structural breaks — such as COVID in 2020, the BS4-to-BS6 transition in 2019, or the entry of Birla Opus in 2024 — may affect the reliability of extrapolating these patterns forward.</w:t>
      </w:r>
    </w:p>
    <w:p w:rsidR="00BF5A02" w:rsidRDefault="00BF5A02">
      <w:pPr>
        <w:spacing w:before="100" w:after="100"/>
      </w:pPr>
      <w:bookmarkStart w:id="0" w:name="_GoBack"/>
      <w:bookmarkEnd w:id="0"/>
    </w:p>
    <w:p w:rsidR="00BF5A02" w:rsidRDefault="00BF5A02">
      <w:pPr>
        <w:spacing w:before="100" w:after="100"/>
      </w:pPr>
    </w:p>
    <w:p w:rsidR="000E21FC" w:rsidRDefault="000E21FC">
      <w:pPr>
        <w:spacing w:before="400" w:after="140"/>
        <w:jc w:val="center"/>
        <w:rPr>
          <w:b/>
          <w:bCs/>
          <w:color w:val="1A252F"/>
          <w:sz w:val="62"/>
          <w:szCs w:val="62"/>
        </w:rPr>
      </w:pPr>
    </w:p>
    <w:p w:rsidR="000E21FC" w:rsidRDefault="000E21FC">
      <w:pPr>
        <w:spacing w:before="400" w:after="140"/>
        <w:jc w:val="center"/>
        <w:rPr>
          <w:b/>
          <w:bCs/>
          <w:color w:val="1A252F"/>
          <w:sz w:val="62"/>
          <w:szCs w:val="62"/>
        </w:rPr>
      </w:pPr>
    </w:p>
    <w:p w:rsidR="000E21FC" w:rsidRDefault="000E21FC">
      <w:pPr>
        <w:spacing w:before="400" w:after="140"/>
        <w:jc w:val="center"/>
        <w:rPr>
          <w:b/>
          <w:bCs/>
          <w:color w:val="1A252F"/>
          <w:sz w:val="62"/>
          <w:szCs w:val="62"/>
        </w:rPr>
      </w:pPr>
    </w:p>
    <w:p w:rsidR="000E21FC" w:rsidRDefault="000E21FC">
      <w:pPr>
        <w:spacing w:before="400" w:after="140"/>
        <w:jc w:val="center"/>
        <w:rPr>
          <w:b/>
          <w:bCs/>
          <w:color w:val="1A252F"/>
          <w:sz w:val="62"/>
          <w:szCs w:val="62"/>
        </w:rPr>
      </w:pPr>
    </w:p>
    <w:p w:rsidR="000E21FC" w:rsidRDefault="000E21FC">
      <w:pPr>
        <w:spacing w:before="400" w:after="140"/>
        <w:jc w:val="center"/>
        <w:rPr>
          <w:b/>
          <w:bCs/>
          <w:color w:val="1A252F"/>
          <w:sz w:val="62"/>
          <w:szCs w:val="62"/>
        </w:rPr>
      </w:pPr>
    </w:p>
    <w:p w:rsidR="000E21FC" w:rsidRDefault="000E21FC">
      <w:pPr>
        <w:spacing w:before="400" w:after="140"/>
        <w:jc w:val="center"/>
        <w:rPr>
          <w:b/>
          <w:bCs/>
          <w:color w:val="1A252F"/>
          <w:sz w:val="62"/>
          <w:szCs w:val="62"/>
        </w:rPr>
      </w:pPr>
    </w:p>
    <w:p w:rsidR="000E21FC" w:rsidRDefault="000E21FC">
      <w:pPr>
        <w:spacing w:before="400" w:after="140"/>
        <w:jc w:val="center"/>
        <w:rPr>
          <w:b/>
          <w:bCs/>
          <w:color w:val="1A252F"/>
          <w:sz w:val="62"/>
          <w:szCs w:val="62"/>
        </w:rPr>
      </w:pPr>
    </w:p>
    <w:p w:rsidR="000E21FC" w:rsidRDefault="000E21FC">
      <w:pPr>
        <w:spacing w:before="400" w:after="140"/>
        <w:jc w:val="center"/>
        <w:rPr>
          <w:b/>
          <w:bCs/>
          <w:color w:val="1A252F"/>
          <w:sz w:val="62"/>
          <w:szCs w:val="62"/>
        </w:rPr>
      </w:pPr>
    </w:p>
    <w:p w:rsidR="000E21FC" w:rsidRDefault="000E21FC">
      <w:pPr>
        <w:spacing w:before="400" w:after="140"/>
        <w:jc w:val="center"/>
        <w:rPr>
          <w:b/>
          <w:bCs/>
          <w:color w:val="1A252F"/>
          <w:sz w:val="62"/>
          <w:szCs w:val="62"/>
        </w:rPr>
      </w:pPr>
    </w:p>
    <w:p w:rsidR="00BF5A02" w:rsidRDefault="002F3175">
      <w:pPr>
        <w:spacing w:before="400" w:after="140"/>
        <w:jc w:val="center"/>
      </w:pPr>
      <w:r>
        <w:rPr>
          <w:b/>
          <w:bCs/>
          <w:color w:val="1A252F"/>
          <w:sz w:val="62"/>
          <w:szCs w:val="62"/>
        </w:rPr>
        <w:t>ALPHA ANALYSIS</w:t>
      </w:r>
    </w:p>
    <w:p w:rsidR="00BF5A02" w:rsidRDefault="002F3175">
      <w:pPr>
        <w:spacing w:before="80" w:after="80"/>
        <w:jc w:val="center"/>
      </w:pPr>
      <w:r>
        <w:rPr>
          <w:color w:val="2C3E50"/>
          <w:sz w:val="34"/>
          <w:szCs w:val="34"/>
        </w:rPr>
        <w:t>Diwali Seasonality — Paint &amp; Auto Stocks vs Nifty 50</w:t>
      </w:r>
    </w:p>
    <w:p w:rsidR="00BF5A02" w:rsidRDefault="002F3175">
      <w:pPr>
        <w:spacing w:before="80" w:after="80"/>
        <w:jc w:val="center"/>
      </w:pPr>
      <w:r>
        <w:rPr>
          <w:i/>
          <w:iCs/>
          <w:color w:val="555555"/>
          <w:sz w:val="21"/>
          <w:szCs w:val="21"/>
        </w:rPr>
        <w:t>Identifying True Excess Return Above the Market  |  All Four Windows  |  2014–2025</w:t>
      </w:r>
    </w:p>
    <w:p w:rsidR="00BF5A02" w:rsidRDefault="00BF5A02">
      <w:pPr>
        <w:spacing w:before="100" w:after="100"/>
      </w:pPr>
    </w:p>
    <w:p w:rsidR="00BF5A02" w:rsidRDefault="002F3175">
      <w:pPr>
        <w:spacing w:before="60" w:after="80"/>
        <w:jc w:val="center"/>
      </w:pPr>
      <w:r>
        <w:rPr>
          <w:color w:val="777777"/>
        </w:rPr>
        <w:t>Prepared by: Kamal Arora  |  CFA Level II Cleared  |  14 Years — HSBC</w:t>
      </w:r>
    </w:p>
    <w:p w:rsidR="00BF5A02" w:rsidRDefault="00BF5A02">
      <w:pPr>
        <w:pBdr>
          <w:bottom w:val="single" w:sz="4" w:space="1" w:color="2980B9"/>
        </w:pBdr>
        <w:spacing w:before="180" w:after="180"/>
      </w:pPr>
    </w:p>
    <w:p w:rsidR="00BF5A02" w:rsidRDefault="00BF5A02">
      <w:pPr>
        <w:spacing w:before="100" w:after="100"/>
      </w:pPr>
    </w:p>
    <w:p w:rsidR="00BF5A02" w:rsidRDefault="002F3175">
      <w:pPr>
        <w:pStyle w:val="Heading1"/>
      </w:pPr>
      <w:r>
        <w:lastRenderedPageBreak/>
        <w:t>1. Why Alpha Matters</w:t>
      </w:r>
    </w:p>
    <w:p w:rsidR="00BF5A02" w:rsidRDefault="002F3175">
      <w:pPr>
        <w:spacing w:before="80" w:after="80"/>
      </w:pPr>
      <w:r>
        <w:rPr>
          <w:color w:val="222222"/>
        </w:rPr>
        <w:t>Showing that a stock rises before Diwali is not enough. The market itself rises before Diwali. The critical question is: does the stock rise MORE than the market — and is that excess return statistically significant? That excess return is called Alpha. Alp</w:t>
      </w:r>
      <w:r>
        <w:rPr>
          <w:color w:val="222222"/>
        </w:rPr>
        <w:t>ha = Stock return minus Nifty 50 return for the same window. If Alpha is positive and statistically significant, the stock has genuine sector-specific seasonal advantage beyond just riding the market wave.</w:t>
      </w:r>
    </w:p>
    <w:p w:rsidR="00BF5A02" w:rsidRDefault="00BF5A02">
      <w:pPr>
        <w:spacing w:before="100" w:after="100"/>
      </w:pPr>
    </w:p>
    <w:p w:rsidR="00BF5A02" w:rsidRDefault="002F3175">
      <w:pPr>
        <w:pBdr>
          <w:top w:val="single" w:sz="6" w:space="16" w:color="2980B9"/>
          <w:left w:val="single" w:sz="18" w:space="8" w:color="2980B9"/>
          <w:bottom w:val="single" w:sz="6" w:space="16" w:color="2980B9"/>
          <w:right w:val="single" w:sz="6" w:space="16" w:color="2980B9"/>
        </w:pBdr>
        <w:spacing w:before="100" w:after="100"/>
      </w:pPr>
      <w:r>
        <w:rPr>
          <w:color w:val="1A252F"/>
          <w:sz w:val="21"/>
          <w:szCs w:val="21"/>
        </w:rPr>
        <w:t>Key insight: A stock rising +6% before Diwali sou</w:t>
      </w:r>
      <w:r>
        <w:rPr>
          <w:color w:val="1A252F"/>
          <w:sz w:val="21"/>
          <w:szCs w:val="21"/>
        </w:rPr>
        <w:t>nds good. But if Nifty rose +4.28%, the real alpha is only +1.72%. Was that worth the extra sector risk? Only if it is statistically significant and consistent year on year.</w:t>
      </w:r>
    </w:p>
    <w:p w:rsidR="00BF5A02" w:rsidRDefault="00BF5A02">
      <w:pPr>
        <w:spacing w:before="100" w:after="100"/>
      </w:pPr>
    </w:p>
    <w:p w:rsidR="00BF5A02" w:rsidRDefault="00BF5A02">
      <w:pPr>
        <w:pBdr>
          <w:bottom w:val="single" w:sz="4" w:space="1" w:color="2980B9"/>
        </w:pBdr>
        <w:spacing w:before="180" w:after="180"/>
      </w:pPr>
    </w:p>
    <w:p w:rsidR="00BF5A02" w:rsidRDefault="002F3175">
      <w:pPr>
        <w:pStyle w:val="Heading1"/>
      </w:pPr>
      <w:r>
        <w:t>2. Nifty 50 — Formal Four-Window Analysis</w:t>
      </w:r>
    </w:p>
    <w:p w:rsidR="00BF5A02" w:rsidRDefault="002F3175">
      <w:pPr>
        <w:spacing w:before="80" w:after="80"/>
      </w:pPr>
      <w:r>
        <w:rPr>
          <w:color w:val="222222"/>
        </w:rPr>
        <w:t>Before measuring alpha, we must formal</w:t>
      </w:r>
      <w:r>
        <w:rPr>
          <w:color w:val="222222"/>
        </w:rPr>
        <w:t>ly establish what the market itself does around Diwali. This is the baseline against which all stock returns are measured.</w:t>
      </w:r>
    </w:p>
    <w:p w:rsidR="00BF5A02" w:rsidRDefault="00BF5A02">
      <w:pPr>
        <w:spacing w:before="100" w:after="100"/>
      </w:pPr>
    </w:p>
    <w:tbl>
      <w:tblPr>
        <w:tblW w:w="10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63"/>
        <w:gridCol w:w="1370"/>
        <w:gridCol w:w="1373"/>
        <w:gridCol w:w="1362"/>
        <w:gridCol w:w="1379"/>
        <w:gridCol w:w="1078"/>
        <w:gridCol w:w="1074"/>
        <w:gridCol w:w="1361"/>
      </w:tblGrid>
      <w:tr w:rsidR="00BF5A02">
        <w:tblPrEx>
          <w:tblCellMar>
            <w:top w:w="0" w:type="dxa"/>
            <w:bottom w:w="0" w:type="dxa"/>
          </w:tblCellMar>
        </w:tblPrEx>
        <w:trPr>
          <w:tblHeader/>
        </w:trPr>
        <w:tc>
          <w:tcPr>
            <w:tcW w:w="16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r>
              <w:rPr>
                <w:b/>
                <w:bCs/>
                <w:color w:val="FFFFFF"/>
                <w:sz w:val="18"/>
                <w:szCs w:val="18"/>
              </w:rPr>
              <w:t>Window</w:t>
            </w:r>
          </w:p>
        </w:tc>
        <w:tc>
          <w:tcPr>
            <w:tcW w:w="14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Avg Return</w:t>
            </w:r>
          </w:p>
        </w:tc>
        <w:tc>
          <w:tcPr>
            <w:tcW w:w="14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t-statistic</w:t>
            </w:r>
          </w:p>
        </w:tc>
        <w:tc>
          <w:tcPr>
            <w:tcW w:w="14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p-value</w:t>
            </w:r>
          </w:p>
        </w:tc>
        <w:tc>
          <w:tcPr>
            <w:tcW w:w="14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Wilcoxon p</w:t>
            </w:r>
          </w:p>
        </w:tc>
        <w:tc>
          <w:tcPr>
            <w:tcW w:w="11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Pos years</w:t>
            </w:r>
          </w:p>
        </w:tc>
        <w:tc>
          <w:tcPr>
            <w:tcW w:w="11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Sig?</w:t>
            </w:r>
          </w:p>
        </w:tc>
        <w:tc>
          <w:tcPr>
            <w:tcW w:w="116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r>
              <w:rPr>
                <w:b/>
                <w:bCs/>
                <w:color w:val="FFFFFF"/>
                <w:sz w:val="18"/>
                <w:szCs w:val="18"/>
              </w:rPr>
              <w:t>Interpretation</w:t>
            </w:r>
          </w:p>
        </w:tc>
      </w:tr>
      <w:tr w:rsidR="00BF5A02">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b/>
                <w:bCs/>
                <w:color w:val="222222"/>
                <w:sz w:val="18"/>
                <w:szCs w:val="18"/>
              </w:rPr>
              <w:t>Pre-30d</w:t>
            </w:r>
          </w:p>
        </w:tc>
        <w:tc>
          <w:tcPr>
            <w:tcW w:w="14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+4.28%</w:t>
            </w:r>
          </w:p>
        </w:tc>
        <w:tc>
          <w:tcPr>
            <w:tcW w:w="14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22222"/>
                <w:sz w:val="18"/>
                <w:szCs w:val="18"/>
              </w:rPr>
              <w:t>3.529</w:t>
            </w:r>
          </w:p>
        </w:tc>
        <w:tc>
          <w:tcPr>
            <w:tcW w:w="14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1A6B3A"/>
                <w:sz w:val="18"/>
                <w:szCs w:val="18"/>
              </w:rPr>
              <w:t>0.005</w:t>
            </w:r>
          </w:p>
        </w:tc>
        <w:tc>
          <w:tcPr>
            <w:tcW w:w="14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22222"/>
                <w:sz w:val="18"/>
                <w:szCs w:val="18"/>
              </w:rPr>
              <w:t>0.004</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22222"/>
                <w:sz w:val="18"/>
                <w:szCs w:val="18"/>
              </w:rPr>
              <w:t>11/12</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 ✓</w:t>
            </w:r>
          </w:p>
        </w:tc>
        <w:tc>
          <w:tcPr>
            <w:tcW w:w="116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444444"/>
                <w:sz w:val="15"/>
                <w:szCs w:val="15"/>
              </w:rPr>
              <w:t>Market itself rallies before Diwali — real, not random</w:t>
            </w:r>
          </w:p>
        </w:tc>
      </w:tr>
      <w:tr w:rsidR="00BF5A02">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b/>
                <w:bCs/>
                <w:color w:val="222222"/>
                <w:sz w:val="18"/>
                <w:szCs w:val="18"/>
              </w:rPr>
              <w:t>On Diwali</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+0.62%</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22222"/>
                <w:sz w:val="18"/>
                <w:szCs w:val="18"/>
              </w:rPr>
              <w:t>3.467</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1A6B3A"/>
                <w:sz w:val="18"/>
                <w:szCs w:val="18"/>
              </w:rPr>
              <w:t>0.005</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22222"/>
                <w:sz w:val="18"/>
                <w:szCs w:val="18"/>
              </w:rPr>
              <w:t>—</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22222"/>
                <w:sz w:val="18"/>
                <w:szCs w:val="18"/>
              </w:rPr>
              <w:t>11/12</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 ✓</w:t>
            </w:r>
          </w:p>
        </w:tc>
        <w:tc>
          <w:tcPr>
            <w:tcW w:w="116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444444"/>
                <w:sz w:val="15"/>
                <w:szCs w:val="15"/>
              </w:rPr>
              <w:t>Muhurat trading session drives positive single-day return</w:t>
            </w:r>
          </w:p>
        </w:tc>
      </w:tr>
      <w:tr w:rsidR="00BF5A02">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b/>
                <w:bCs/>
                <w:color w:val="222222"/>
                <w:sz w:val="18"/>
                <w:szCs w:val="18"/>
              </w:rPr>
              <w:t>Post-15d</w:t>
            </w:r>
          </w:p>
        </w:tc>
        <w:tc>
          <w:tcPr>
            <w:tcW w:w="14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+0.04%</w:t>
            </w:r>
          </w:p>
        </w:tc>
        <w:tc>
          <w:tcPr>
            <w:tcW w:w="14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22222"/>
                <w:sz w:val="18"/>
                <w:szCs w:val="18"/>
              </w:rPr>
              <w:t>0.089</w:t>
            </w:r>
          </w:p>
        </w:tc>
        <w:tc>
          <w:tcPr>
            <w:tcW w:w="14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8B0000"/>
                <w:sz w:val="18"/>
                <w:szCs w:val="18"/>
              </w:rPr>
              <w:t>0.931</w:t>
            </w:r>
          </w:p>
        </w:tc>
        <w:tc>
          <w:tcPr>
            <w:tcW w:w="14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22222"/>
                <w:sz w:val="18"/>
                <w:szCs w:val="18"/>
              </w:rPr>
              <w:t>—</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22222"/>
                <w:sz w:val="18"/>
                <w:szCs w:val="18"/>
              </w:rPr>
              <w:t>7/12</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8B0000"/>
                <w:sz w:val="18"/>
                <w:szCs w:val="18"/>
              </w:rPr>
              <w:t>No</w:t>
            </w:r>
          </w:p>
        </w:tc>
        <w:tc>
          <w:tcPr>
            <w:tcW w:w="116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444444"/>
                <w:sz w:val="15"/>
                <w:szCs w:val="15"/>
              </w:rPr>
              <w:t>Effect fades — not significant post-event</w:t>
            </w:r>
          </w:p>
        </w:tc>
      </w:tr>
      <w:tr w:rsidR="00BF5A02">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b/>
                <w:bCs/>
                <w:color w:val="222222"/>
                <w:sz w:val="18"/>
                <w:szCs w:val="18"/>
              </w:rPr>
              <w:t>Post-30d</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+0.02%</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22222"/>
                <w:sz w:val="18"/>
                <w:szCs w:val="18"/>
              </w:rPr>
              <w:t>0.032</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8B0000"/>
                <w:sz w:val="18"/>
                <w:szCs w:val="18"/>
              </w:rPr>
              <w:t>0.975</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22222"/>
                <w:sz w:val="18"/>
                <w:szCs w:val="18"/>
              </w:rPr>
              <w:t>—</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22222"/>
                <w:sz w:val="18"/>
                <w:szCs w:val="18"/>
              </w:rPr>
              <w:t>7/12</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8B0000"/>
                <w:sz w:val="18"/>
                <w:szCs w:val="18"/>
              </w:rPr>
              <w:t>No</w:t>
            </w:r>
          </w:p>
        </w:tc>
        <w:tc>
          <w:tcPr>
            <w:tcW w:w="116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444444"/>
                <w:sz w:val="15"/>
                <w:szCs w:val="15"/>
              </w:rPr>
              <w:t>No significant post-Diwali drift in broad market</w:t>
            </w:r>
          </w:p>
        </w:tc>
      </w:tr>
    </w:tbl>
    <w:p w:rsidR="00BF5A02" w:rsidRDefault="00BF5A02">
      <w:pPr>
        <w:spacing w:before="100" w:after="100"/>
      </w:pPr>
    </w:p>
    <w:p w:rsidR="00BF5A02" w:rsidRDefault="002F3175">
      <w:pPr>
        <w:spacing w:before="160" w:after="80"/>
      </w:pPr>
      <w:r>
        <w:rPr>
          <w:b/>
          <w:bCs/>
          <w:color w:val="1A252F"/>
          <w:sz w:val="22"/>
          <w:szCs w:val="22"/>
        </w:rPr>
        <w:t>Key Nifty findings</w:t>
      </w:r>
    </w:p>
    <w:p w:rsidR="00BF5A02" w:rsidRDefault="002F3175">
      <w:pPr>
        <w:pStyle w:val="ListParagraph"/>
        <w:numPr>
          <w:ilvl w:val="0"/>
          <w:numId w:val="2"/>
        </w:numPr>
        <w:spacing w:before="50" w:after="50"/>
      </w:pPr>
      <w:r>
        <w:t>Pre-Diwali: Nifty rises +4.28% on average — statistically significant (p=0.005, Wilcoxon p=0.004). Positive in 11 out of 12 years. The market itself has a genuine Diwali seasonal pattern.</w:t>
      </w:r>
    </w:p>
    <w:p w:rsidR="00BF5A02" w:rsidRDefault="002F3175">
      <w:pPr>
        <w:pStyle w:val="ListParagraph"/>
        <w:numPr>
          <w:ilvl w:val="0"/>
          <w:numId w:val="2"/>
        </w:numPr>
        <w:spacing w:before="50" w:after="50"/>
      </w:pPr>
      <w:r>
        <w:lastRenderedPageBreak/>
        <w:t>On Diwali Day: Nifty rises +0.62% — significant (p=0.005). Muhurat t</w:t>
      </w:r>
      <w:r>
        <w:t>rading session creates a consistent positive single-day return.</w:t>
      </w:r>
    </w:p>
    <w:p w:rsidR="00BF5A02" w:rsidRDefault="002F3175">
      <w:pPr>
        <w:pStyle w:val="ListParagraph"/>
        <w:numPr>
          <w:ilvl w:val="0"/>
          <w:numId w:val="2"/>
        </w:numPr>
        <w:spacing w:before="50" w:after="50"/>
      </w:pPr>
      <w:r>
        <w:t>Post-Diwali 15d and 30d: NOT significant (p=0.931 and p=0.975). The broad market Diwali effect fades completely after the event — consistent with pre-event pricing behaviour.</w:t>
      </w:r>
    </w:p>
    <w:p w:rsidR="00BF5A02" w:rsidRDefault="002F3175">
      <w:pPr>
        <w:pStyle w:val="ListParagraph"/>
        <w:numPr>
          <w:ilvl w:val="0"/>
          <w:numId w:val="2"/>
        </w:numPr>
        <w:spacing w:before="50" w:after="50"/>
      </w:pPr>
      <w:r>
        <w:t>This means any st</w:t>
      </w:r>
      <w:r>
        <w:t>ock you hold before Diwali will likely get a free +4.28% just from market movement. The question is — what do you get on TOP of that?</w:t>
      </w:r>
    </w:p>
    <w:p w:rsidR="00BF5A02" w:rsidRDefault="00BF5A02">
      <w:pPr>
        <w:spacing w:before="100" w:after="100"/>
      </w:pPr>
    </w:p>
    <w:p w:rsidR="00BF5A02" w:rsidRDefault="00BF5A02">
      <w:pPr>
        <w:pBdr>
          <w:bottom w:val="single" w:sz="4" w:space="1" w:color="2980B9"/>
        </w:pBdr>
        <w:spacing w:before="180" w:after="180"/>
      </w:pPr>
    </w:p>
    <w:p w:rsidR="00BF5A02" w:rsidRDefault="002F3175">
      <w:pPr>
        <w:pStyle w:val="Heading1"/>
      </w:pPr>
      <w:r>
        <w:t>3. Paint Stocks — Alpha Analysis</w:t>
      </w:r>
    </w:p>
    <w:p w:rsidR="00BF5A02" w:rsidRDefault="002F3175">
      <w:pPr>
        <w:spacing w:before="80" w:after="80"/>
      </w:pPr>
      <w:r>
        <w:rPr>
          <w:color w:val="222222"/>
        </w:rPr>
        <w:t>Alpha for each paint stock is calculated as the stock return minus Nifty return for each window, then tested with a one-sample t-test (H0: alpha = 0).</w:t>
      </w:r>
    </w:p>
    <w:p w:rsidR="00BF5A02" w:rsidRDefault="00BF5A02">
      <w:pPr>
        <w:spacing w:before="100" w:after="100"/>
      </w:pPr>
    </w:p>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80"/>
        <w:gridCol w:w="1060"/>
        <w:gridCol w:w="980"/>
        <w:gridCol w:w="980"/>
        <w:gridCol w:w="980"/>
        <w:gridCol w:w="980"/>
        <w:gridCol w:w="880"/>
        <w:gridCol w:w="880"/>
        <w:gridCol w:w="840"/>
        <w:gridCol w:w="900"/>
      </w:tblGrid>
      <w:tr w:rsidR="00BF5A02">
        <w:tblPrEx>
          <w:tblCellMar>
            <w:top w:w="0" w:type="dxa"/>
            <w:bottom w:w="0" w:type="dxa"/>
          </w:tblCellMar>
        </w:tblPrEx>
        <w:trPr>
          <w:tblHeader/>
        </w:trPr>
        <w:tc>
          <w:tcPr>
            <w:tcW w:w="148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r>
              <w:rPr>
                <w:b/>
                <w:bCs/>
                <w:color w:val="FFFFFF"/>
                <w:sz w:val="18"/>
                <w:szCs w:val="18"/>
              </w:rPr>
              <w:t>Stock</w:t>
            </w:r>
          </w:p>
        </w:tc>
        <w:tc>
          <w:tcPr>
            <w:tcW w:w="106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Segment</w:t>
            </w:r>
          </w:p>
        </w:tc>
        <w:tc>
          <w:tcPr>
            <w:tcW w:w="98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Stock Pre%</w:t>
            </w:r>
          </w:p>
        </w:tc>
        <w:tc>
          <w:tcPr>
            <w:tcW w:w="98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Nifty Pre%</w:t>
            </w:r>
          </w:p>
        </w:tc>
        <w:tc>
          <w:tcPr>
            <w:tcW w:w="98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Alpha Pre%</w:t>
            </w:r>
          </w:p>
        </w:tc>
        <w:tc>
          <w:tcPr>
            <w:tcW w:w="98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Alpha On%</w:t>
            </w:r>
          </w:p>
        </w:tc>
        <w:tc>
          <w:tcPr>
            <w:tcW w:w="88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Alpha P15%</w:t>
            </w:r>
          </w:p>
        </w:tc>
        <w:tc>
          <w:tcPr>
            <w:tcW w:w="88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Alpha P30%</w:t>
            </w:r>
          </w:p>
        </w:tc>
        <w:tc>
          <w:tcPr>
            <w:tcW w:w="84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p-val Pre</w:t>
            </w:r>
          </w:p>
        </w:tc>
        <w:tc>
          <w:tcPr>
            <w:tcW w:w="9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Alpha Sig?</w:t>
            </w:r>
          </w:p>
        </w:tc>
      </w:tr>
      <w:tr w:rsidR="00BF5A02">
        <w:tblPrEx>
          <w:tblCellMar>
            <w:top w:w="0" w:type="dxa"/>
            <w:bottom w:w="0" w:type="dxa"/>
          </w:tblCellMar>
        </w:tblPrEx>
        <w:tc>
          <w:tcPr>
            <w:tcW w:w="14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color w:val="222222"/>
                <w:sz w:val="18"/>
                <w:szCs w:val="18"/>
              </w:rPr>
              <w:t>Asian Paints</w:t>
            </w:r>
          </w:p>
        </w:tc>
        <w:tc>
          <w:tcPr>
            <w:tcW w:w="106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22222"/>
                <w:sz w:val="18"/>
                <w:szCs w:val="18"/>
              </w:rPr>
              <w:t>Large Cap</w:t>
            </w:r>
          </w:p>
        </w:tc>
        <w:tc>
          <w:tcPr>
            <w:tcW w:w="9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+7.00%</w:t>
            </w:r>
          </w:p>
        </w:tc>
        <w:tc>
          <w:tcPr>
            <w:tcW w:w="9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+4.28%</w:t>
            </w:r>
          </w:p>
        </w:tc>
        <w:tc>
          <w:tcPr>
            <w:tcW w:w="9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+2.72%</w:t>
            </w:r>
          </w:p>
        </w:tc>
        <w:tc>
          <w:tcPr>
            <w:tcW w:w="9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1A6B3A"/>
                <w:sz w:val="18"/>
                <w:szCs w:val="18"/>
              </w:rPr>
              <w:t>+0.43%</w:t>
            </w:r>
          </w:p>
        </w:tc>
        <w:tc>
          <w:tcPr>
            <w:tcW w:w="8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8B0000"/>
                <w:sz w:val="18"/>
                <w:szCs w:val="18"/>
              </w:rPr>
              <w:t>-0.07%</w:t>
            </w:r>
          </w:p>
        </w:tc>
        <w:tc>
          <w:tcPr>
            <w:tcW w:w="8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1A6B3A"/>
                <w:sz w:val="18"/>
                <w:szCs w:val="18"/>
              </w:rPr>
              <w:t>+0.03%</w:t>
            </w:r>
          </w:p>
        </w:tc>
        <w:tc>
          <w:tcPr>
            <w:tcW w:w="84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1A6B3A"/>
                <w:sz w:val="18"/>
                <w:szCs w:val="18"/>
              </w:rPr>
              <w:t>0.009</w:t>
            </w:r>
          </w:p>
        </w:tc>
        <w:tc>
          <w:tcPr>
            <w:tcW w:w="9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 ✓</w:t>
            </w:r>
          </w:p>
        </w:tc>
      </w:tr>
      <w:tr w:rsidR="00BF5A02">
        <w:tblPrEx>
          <w:tblCellMar>
            <w:top w:w="0" w:type="dxa"/>
            <w:bottom w:w="0" w:type="dxa"/>
          </w:tblCellMar>
        </w:tblPrEx>
        <w:tc>
          <w:tcPr>
            <w:tcW w:w="14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color w:val="222222"/>
                <w:sz w:val="18"/>
                <w:szCs w:val="18"/>
              </w:rPr>
              <w:t>Berger Paints</w:t>
            </w:r>
          </w:p>
        </w:tc>
        <w:tc>
          <w:tcPr>
            <w:tcW w:w="106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22222"/>
                <w:sz w:val="18"/>
                <w:szCs w:val="18"/>
              </w:rPr>
              <w:t>Large Cap</w:t>
            </w:r>
          </w:p>
        </w:tc>
        <w:tc>
          <w:tcPr>
            <w:tcW w:w="9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+7.36%</w:t>
            </w:r>
          </w:p>
        </w:tc>
        <w:tc>
          <w:tcPr>
            <w:tcW w:w="9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+4.28%</w:t>
            </w:r>
          </w:p>
        </w:tc>
        <w:tc>
          <w:tcPr>
            <w:tcW w:w="9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+3.07%</w:t>
            </w:r>
          </w:p>
        </w:tc>
        <w:tc>
          <w:tcPr>
            <w:tcW w:w="9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1A6B3A"/>
                <w:sz w:val="18"/>
                <w:szCs w:val="18"/>
              </w:rPr>
              <w:t>+0.63%</w:t>
            </w:r>
          </w:p>
        </w:tc>
        <w:tc>
          <w:tcPr>
            <w:tcW w:w="8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1A6B3A"/>
                <w:sz w:val="18"/>
                <w:szCs w:val="18"/>
              </w:rPr>
              <w:t>+0.42%</w:t>
            </w:r>
          </w:p>
        </w:tc>
        <w:tc>
          <w:tcPr>
            <w:tcW w:w="8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1A6B3A"/>
                <w:sz w:val="18"/>
                <w:szCs w:val="18"/>
              </w:rPr>
              <w:t>+0.68%</w:t>
            </w:r>
          </w:p>
        </w:tc>
        <w:tc>
          <w:tcPr>
            <w:tcW w:w="84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1A6B3A"/>
                <w:sz w:val="18"/>
                <w:szCs w:val="18"/>
              </w:rPr>
              <w:t>0.006</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 ✓</w:t>
            </w:r>
          </w:p>
        </w:tc>
      </w:tr>
      <w:tr w:rsidR="00BF5A02">
        <w:tblPrEx>
          <w:tblCellMar>
            <w:top w:w="0" w:type="dxa"/>
            <w:bottom w:w="0" w:type="dxa"/>
          </w:tblCellMar>
        </w:tblPrEx>
        <w:tc>
          <w:tcPr>
            <w:tcW w:w="14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color w:val="222222"/>
                <w:sz w:val="18"/>
                <w:szCs w:val="18"/>
              </w:rPr>
              <w:t>Kansai Nerolac</w:t>
            </w:r>
          </w:p>
        </w:tc>
        <w:tc>
          <w:tcPr>
            <w:tcW w:w="106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22222"/>
                <w:sz w:val="18"/>
                <w:szCs w:val="18"/>
              </w:rPr>
              <w:t>Large Cap</w:t>
            </w:r>
          </w:p>
        </w:tc>
        <w:tc>
          <w:tcPr>
            <w:tcW w:w="9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+5.24%</w:t>
            </w:r>
          </w:p>
        </w:tc>
        <w:tc>
          <w:tcPr>
            <w:tcW w:w="9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+4.28%</w:t>
            </w:r>
          </w:p>
        </w:tc>
        <w:tc>
          <w:tcPr>
            <w:tcW w:w="9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+0.96%</w:t>
            </w:r>
          </w:p>
        </w:tc>
        <w:tc>
          <w:tcPr>
            <w:tcW w:w="9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1A6B3A"/>
                <w:sz w:val="18"/>
                <w:szCs w:val="18"/>
              </w:rPr>
              <w:t>+0.28%</w:t>
            </w:r>
          </w:p>
        </w:tc>
        <w:tc>
          <w:tcPr>
            <w:tcW w:w="8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1A6B3A"/>
                <w:sz w:val="18"/>
                <w:szCs w:val="18"/>
              </w:rPr>
              <w:t>+0.11%</w:t>
            </w:r>
          </w:p>
        </w:tc>
        <w:tc>
          <w:tcPr>
            <w:tcW w:w="8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1A6B3A"/>
                <w:sz w:val="18"/>
                <w:szCs w:val="18"/>
              </w:rPr>
              <w:t>+0.18%</w:t>
            </w:r>
          </w:p>
        </w:tc>
        <w:tc>
          <w:tcPr>
            <w:tcW w:w="84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1A6B3A"/>
                <w:sz w:val="18"/>
                <w:szCs w:val="18"/>
              </w:rPr>
              <w:t>0.008</w:t>
            </w:r>
          </w:p>
        </w:tc>
        <w:tc>
          <w:tcPr>
            <w:tcW w:w="9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 ✓</w:t>
            </w:r>
          </w:p>
        </w:tc>
      </w:tr>
      <w:tr w:rsidR="00BF5A02">
        <w:tblPrEx>
          <w:tblCellMar>
            <w:top w:w="0" w:type="dxa"/>
            <w:bottom w:w="0" w:type="dxa"/>
          </w:tblCellMar>
        </w:tblPrEx>
        <w:tc>
          <w:tcPr>
            <w:tcW w:w="14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color w:val="222222"/>
                <w:sz w:val="18"/>
                <w:szCs w:val="18"/>
              </w:rPr>
              <w:t>Akzo Nobel</w:t>
            </w:r>
          </w:p>
        </w:tc>
        <w:tc>
          <w:tcPr>
            <w:tcW w:w="106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22222"/>
                <w:sz w:val="18"/>
                <w:szCs w:val="18"/>
              </w:rPr>
              <w:t>Large Cap</w:t>
            </w:r>
          </w:p>
        </w:tc>
        <w:tc>
          <w:tcPr>
            <w:tcW w:w="9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+5.13%</w:t>
            </w:r>
          </w:p>
        </w:tc>
        <w:tc>
          <w:tcPr>
            <w:tcW w:w="9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+4.28%</w:t>
            </w:r>
          </w:p>
        </w:tc>
        <w:tc>
          <w:tcPr>
            <w:tcW w:w="9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+0.85%</w:t>
            </w:r>
          </w:p>
        </w:tc>
        <w:tc>
          <w:tcPr>
            <w:tcW w:w="9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1A6B3A"/>
                <w:sz w:val="18"/>
                <w:szCs w:val="18"/>
              </w:rPr>
              <w:t>+0.28%</w:t>
            </w:r>
          </w:p>
        </w:tc>
        <w:tc>
          <w:tcPr>
            <w:tcW w:w="8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1A6B3A"/>
                <w:sz w:val="18"/>
                <w:szCs w:val="18"/>
              </w:rPr>
              <w:t>+0.18%</w:t>
            </w:r>
          </w:p>
        </w:tc>
        <w:tc>
          <w:tcPr>
            <w:tcW w:w="8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1A6B3A"/>
                <w:sz w:val="18"/>
                <w:szCs w:val="18"/>
              </w:rPr>
              <w:t>+0.37%</w:t>
            </w:r>
          </w:p>
        </w:tc>
        <w:tc>
          <w:tcPr>
            <w:tcW w:w="84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1A6B3A"/>
                <w:sz w:val="18"/>
                <w:szCs w:val="18"/>
              </w:rPr>
              <w:t>0.011</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 ✓</w:t>
            </w:r>
          </w:p>
        </w:tc>
      </w:tr>
      <w:tr w:rsidR="00BF5A02">
        <w:tblPrEx>
          <w:tblCellMar>
            <w:top w:w="0" w:type="dxa"/>
            <w:bottom w:w="0" w:type="dxa"/>
          </w:tblCellMar>
        </w:tblPrEx>
        <w:tc>
          <w:tcPr>
            <w:tcW w:w="14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color w:val="222222"/>
                <w:sz w:val="18"/>
                <w:szCs w:val="18"/>
              </w:rPr>
              <w:t>Indigo Paints</w:t>
            </w:r>
          </w:p>
        </w:tc>
        <w:tc>
          <w:tcPr>
            <w:tcW w:w="106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22222"/>
                <w:sz w:val="18"/>
                <w:szCs w:val="18"/>
              </w:rPr>
              <w:t>Mid Cap</w:t>
            </w:r>
          </w:p>
        </w:tc>
        <w:tc>
          <w:tcPr>
            <w:tcW w:w="9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+11.67%</w:t>
            </w:r>
          </w:p>
        </w:tc>
        <w:tc>
          <w:tcPr>
            <w:tcW w:w="9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+5.85%</w:t>
            </w:r>
          </w:p>
        </w:tc>
        <w:tc>
          <w:tcPr>
            <w:tcW w:w="9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+5.82%</w:t>
            </w:r>
          </w:p>
        </w:tc>
        <w:tc>
          <w:tcPr>
            <w:tcW w:w="9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1A6B3A"/>
                <w:sz w:val="18"/>
                <w:szCs w:val="18"/>
              </w:rPr>
              <w:t>+1.11%</w:t>
            </w:r>
          </w:p>
        </w:tc>
        <w:tc>
          <w:tcPr>
            <w:tcW w:w="8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1A6B3A"/>
                <w:sz w:val="18"/>
                <w:szCs w:val="18"/>
              </w:rPr>
              <w:t>+0.17%</w:t>
            </w:r>
          </w:p>
        </w:tc>
        <w:tc>
          <w:tcPr>
            <w:tcW w:w="8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1A6B3A"/>
                <w:sz w:val="18"/>
                <w:szCs w:val="18"/>
              </w:rPr>
              <w:t>+0.24%</w:t>
            </w:r>
          </w:p>
        </w:tc>
        <w:tc>
          <w:tcPr>
            <w:tcW w:w="84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8B0000"/>
                <w:sz w:val="18"/>
                <w:szCs w:val="18"/>
              </w:rPr>
              <w:t>0.071</w:t>
            </w:r>
          </w:p>
        </w:tc>
        <w:tc>
          <w:tcPr>
            <w:tcW w:w="9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8B0000"/>
                <w:sz w:val="18"/>
                <w:szCs w:val="18"/>
              </w:rPr>
              <w:t>No</w:t>
            </w:r>
          </w:p>
        </w:tc>
      </w:tr>
      <w:tr w:rsidR="00BF5A02">
        <w:tblPrEx>
          <w:tblCellMar>
            <w:top w:w="0" w:type="dxa"/>
            <w:bottom w:w="0" w:type="dxa"/>
          </w:tblCellMar>
        </w:tblPrEx>
        <w:tc>
          <w:tcPr>
            <w:tcW w:w="14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color w:val="222222"/>
                <w:sz w:val="18"/>
                <w:szCs w:val="18"/>
              </w:rPr>
              <w:t>Shalimar Paints</w:t>
            </w:r>
          </w:p>
        </w:tc>
        <w:tc>
          <w:tcPr>
            <w:tcW w:w="106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22222"/>
                <w:sz w:val="18"/>
                <w:szCs w:val="18"/>
              </w:rPr>
              <w:t>Mid Cap</w:t>
            </w:r>
          </w:p>
        </w:tc>
        <w:tc>
          <w:tcPr>
            <w:tcW w:w="9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+6.32%</w:t>
            </w:r>
          </w:p>
        </w:tc>
        <w:tc>
          <w:tcPr>
            <w:tcW w:w="9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+4.28%</w:t>
            </w:r>
          </w:p>
        </w:tc>
        <w:tc>
          <w:tcPr>
            <w:tcW w:w="9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+2.04%</w:t>
            </w:r>
          </w:p>
        </w:tc>
        <w:tc>
          <w:tcPr>
            <w:tcW w:w="9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1A6B3A"/>
                <w:sz w:val="18"/>
                <w:szCs w:val="18"/>
              </w:rPr>
              <w:t>+0.58%</w:t>
            </w:r>
          </w:p>
        </w:tc>
        <w:tc>
          <w:tcPr>
            <w:tcW w:w="8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1A6B3A"/>
                <w:sz w:val="18"/>
                <w:szCs w:val="18"/>
              </w:rPr>
              <w:t>+0.37%</w:t>
            </w:r>
          </w:p>
        </w:tc>
        <w:tc>
          <w:tcPr>
            <w:tcW w:w="8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1A6B3A"/>
                <w:sz w:val="18"/>
                <w:szCs w:val="18"/>
              </w:rPr>
              <w:t>+0.58%</w:t>
            </w:r>
          </w:p>
        </w:tc>
        <w:tc>
          <w:tcPr>
            <w:tcW w:w="84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1A6B3A"/>
                <w:sz w:val="18"/>
                <w:szCs w:val="18"/>
              </w:rPr>
              <w:t>0.003</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 ✓</w:t>
            </w:r>
          </w:p>
        </w:tc>
      </w:tr>
    </w:tbl>
    <w:p w:rsidR="00BF5A02" w:rsidRDefault="00BF5A02">
      <w:pPr>
        <w:spacing w:before="100" w:after="100"/>
      </w:pPr>
    </w:p>
    <w:p w:rsidR="00BF5A02" w:rsidRDefault="002F3175">
      <w:pPr>
        <w:spacing w:before="160" w:after="80"/>
      </w:pPr>
      <w:r>
        <w:rPr>
          <w:b/>
          <w:bCs/>
          <w:color w:val="1A252F"/>
          <w:sz w:val="22"/>
          <w:szCs w:val="22"/>
        </w:rPr>
        <w:t>Paint sector alpha conclusions</w:t>
      </w:r>
    </w:p>
    <w:p w:rsidR="00BF5A02" w:rsidRDefault="002F3175">
      <w:pPr>
        <w:pStyle w:val="ListParagraph"/>
        <w:numPr>
          <w:ilvl w:val="0"/>
          <w:numId w:val="2"/>
        </w:numPr>
        <w:spacing w:before="50" w:after="50"/>
      </w:pPr>
      <w:r>
        <w:t>All 5 large cap paint stocks show statistically significant Pre-Diwali alpha — even after removing the Nifty market return. The sector-specific seasonal demand effect is real.</w:t>
      </w:r>
    </w:p>
    <w:p w:rsidR="00BF5A02" w:rsidRDefault="002F3175">
      <w:pPr>
        <w:pStyle w:val="ListParagraph"/>
        <w:numPr>
          <w:ilvl w:val="0"/>
          <w:numId w:val="2"/>
        </w:numPr>
        <w:spacing w:before="50" w:after="50"/>
      </w:pPr>
      <w:r>
        <w:t>However, alpha ranges from only +0.85% (Akzo Nobel) to +3.07% (Berger Paints). F</w:t>
      </w:r>
      <w:r>
        <w:t>or smaller alpha stocks, the excess return may not justify the concentration risk.</w:t>
      </w:r>
    </w:p>
    <w:p w:rsidR="00BF5A02" w:rsidRDefault="002F3175">
      <w:pPr>
        <w:pStyle w:val="ListParagraph"/>
        <w:numPr>
          <w:ilvl w:val="0"/>
          <w:numId w:val="2"/>
        </w:numPr>
        <w:spacing w:before="50" w:after="50"/>
      </w:pPr>
      <w:r>
        <w:t>Post-Diwali alpha is NOT significant for any paint stock. The alpha only exists in the pre-event window — consistent with front-running behaviour rather than fundamental dem</w:t>
      </w:r>
      <w:r>
        <w:t>and continuation.</w:t>
      </w:r>
    </w:p>
    <w:p w:rsidR="00BF5A02" w:rsidRDefault="002F3175">
      <w:pPr>
        <w:pStyle w:val="ListParagraph"/>
        <w:numPr>
          <w:ilvl w:val="0"/>
          <w:numId w:val="2"/>
        </w:numPr>
        <w:spacing w:before="50" w:after="50"/>
      </w:pPr>
      <w:r>
        <w:t>Indigo Paints shows the highest alpha (+5.82%) but it is NOT statistically significant (p=0.071) — due to only 6 years of data. With more history this could become significant.</w:t>
      </w:r>
    </w:p>
    <w:p w:rsidR="00BF5A02" w:rsidRDefault="002F3175">
      <w:pPr>
        <w:pStyle w:val="ListParagraph"/>
        <w:numPr>
          <w:ilvl w:val="0"/>
          <w:numId w:val="2"/>
        </w:numPr>
        <w:spacing w:before="50" w:after="50"/>
      </w:pPr>
      <w:r>
        <w:t>Kansai Nerolac and Akzo Nobel — with alpha below +1% — are borderline. After transaction costs and taxes, the net alpha over Nifty may be negligible.</w:t>
      </w:r>
    </w:p>
    <w:p w:rsidR="00BF5A02" w:rsidRDefault="00BF5A02">
      <w:pPr>
        <w:spacing w:before="100" w:after="100"/>
      </w:pPr>
    </w:p>
    <w:p w:rsidR="00BF5A02" w:rsidRDefault="002F3175">
      <w:pPr>
        <w:pStyle w:val="Heading2"/>
      </w:pPr>
      <w:r>
        <w:lastRenderedPageBreak/>
        <w:t>3.1  Asian Paints  (Large Cap)</w:t>
      </w:r>
    </w:p>
    <w:p w:rsidR="00BF5A02" w:rsidRDefault="002F3175">
      <w:pPr>
        <w:spacing w:before="60" w:after="80"/>
      </w:pPr>
      <w:r>
        <w:t xml:space="preserve">Pre-Diwali Alpha: </w:t>
      </w:r>
      <w:r>
        <w:rPr>
          <w:b/>
          <w:bCs/>
          <w:color w:val="1A6B3A"/>
        </w:rPr>
        <w:t>+2.72%</w:t>
      </w:r>
      <w:r>
        <w:t xml:space="preserve">  |  t-stat: 3.169  |  p-value: 0.009  |  Signific</w:t>
      </w:r>
      <w:r>
        <w:t xml:space="preserve">ant: </w:t>
      </w:r>
      <w:r>
        <w:rPr>
          <w:b/>
          <w:bCs/>
          <w:color w:val="1A6B3A"/>
        </w:rPr>
        <w:t>Yes ✓</w:t>
      </w:r>
      <w:r>
        <w:rPr>
          <w:color w:val="444444"/>
        </w:rPr>
        <w:t xml:space="preserve">  |  Positive alpha years: 12/12</w:t>
      </w:r>
    </w:p>
    <w:tbl>
      <w:tblPr>
        <w:tblW w:w="7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4"/>
        <w:gridCol w:w="1087"/>
        <w:gridCol w:w="1087"/>
        <w:gridCol w:w="1180"/>
        <w:gridCol w:w="1300"/>
        <w:gridCol w:w="1642"/>
      </w:tblGrid>
      <w:tr w:rsidR="00BF5A02">
        <w:tblPrEx>
          <w:tblCellMar>
            <w:top w:w="0" w:type="dxa"/>
            <w:bottom w:w="0" w:type="dxa"/>
          </w:tblCellMar>
        </w:tblPrEx>
        <w:trPr>
          <w:tblHeader/>
        </w:trPr>
        <w:tc>
          <w:tcPr>
            <w:tcW w:w="82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Year</w:t>
            </w:r>
          </w:p>
        </w:tc>
        <w:tc>
          <w:tcPr>
            <w:tcW w:w="11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Stock Pre%</w:t>
            </w:r>
          </w:p>
        </w:tc>
        <w:tc>
          <w:tcPr>
            <w:tcW w:w="11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Nifty Pre%</w:t>
            </w:r>
          </w:p>
        </w:tc>
        <w:tc>
          <w:tcPr>
            <w:tcW w:w="12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Alpha Pre%</w:t>
            </w:r>
          </w:p>
        </w:tc>
        <w:tc>
          <w:tcPr>
            <w:tcW w:w="12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Outperform?</w:t>
            </w:r>
          </w:p>
        </w:tc>
        <w:tc>
          <w:tcPr>
            <w:tcW w:w="168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r>
              <w:rPr>
                <w:b/>
                <w:bCs/>
                <w:color w:val="FFFFFF"/>
                <w:sz w:val="18"/>
                <w:szCs w:val="18"/>
              </w:rPr>
              <w:t>Key driver</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2014</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+6.23%</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+4.20%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+2.03%</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Election euphoria; consumer boom</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2015</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+3.95%</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+2.80%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+1.15%</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Stable rates; rural demand</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2016</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+3.73%</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+3.10%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+0.63%</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Pre-demonetisation buying surge</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2017</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+5.00%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+3.80%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+1.20%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GST disruption — demand soft</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2018</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-1.94%</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-3.20%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+1.26%</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IL&amp;FS / high crude — negative</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2019</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+8.35%</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+5.60%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+2.75%</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Auto worst slowdown in 20 yrs</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2020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+27.03%</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+15.40%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+11.63%</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COVID pent-up; massive surge</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2021</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+8.05%</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+4.80%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+3.25%</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Chip shortage; demand &gt; supply</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2022</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+3.73%</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+2.10%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+1.63%</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Strong festive; SUV premiumisation</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2023</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+9.86%</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+5.90%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+3.96%</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Record festive; EV narrative</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2024</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+5.20%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+3.80%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+1.40%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Healthy volumes; EV competition</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2025</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+4.80%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+3.10%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+1.70%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New launches; premiumisation</w:t>
            </w:r>
          </w:p>
        </w:tc>
      </w:tr>
    </w:tbl>
    <w:p w:rsidR="00BF5A02" w:rsidRDefault="00BF5A02">
      <w:pPr>
        <w:spacing w:before="100" w:after="100"/>
      </w:pPr>
    </w:p>
    <w:p w:rsidR="00BF5A02" w:rsidRDefault="00BF5A02">
      <w:pPr>
        <w:spacing w:before="100" w:after="100"/>
      </w:pPr>
    </w:p>
    <w:p w:rsidR="00BF5A02" w:rsidRDefault="002F3175">
      <w:pPr>
        <w:pStyle w:val="Heading2"/>
      </w:pPr>
      <w:r>
        <w:t>3.2  Berger Paints  (Large Cap)</w:t>
      </w:r>
    </w:p>
    <w:p w:rsidR="00BF5A02" w:rsidRDefault="002F3175">
      <w:pPr>
        <w:spacing w:before="60" w:after="80"/>
      </w:pPr>
      <w:r>
        <w:t xml:space="preserve">Pre-Diwali Alpha: </w:t>
      </w:r>
      <w:r>
        <w:rPr>
          <w:b/>
          <w:bCs/>
          <w:color w:val="1A6B3A"/>
        </w:rPr>
        <w:t>+3.07%</w:t>
      </w:r>
      <w:r>
        <w:t xml:space="preserve">  |  t-stat: 3.366  |  p-value: 0.006  |  Significant: </w:t>
      </w:r>
      <w:r>
        <w:rPr>
          <w:b/>
          <w:bCs/>
          <w:color w:val="1A6B3A"/>
        </w:rPr>
        <w:t>Yes ✓</w:t>
      </w:r>
      <w:r>
        <w:rPr>
          <w:color w:val="444444"/>
        </w:rPr>
        <w:t xml:space="preserve">  |  Positive alpha years: 11/12</w:t>
      </w:r>
    </w:p>
    <w:tbl>
      <w:tblPr>
        <w:tblW w:w="7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4"/>
        <w:gridCol w:w="1087"/>
        <w:gridCol w:w="1087"/>
        <w:gridCol w:w="1180"/>
        <w:gridCol w:w="1300"/>
        <w:gridCol w:w="1642"/>
      </w:tblGrid>
      <w:tr w:rsidR="00BF5A02">
        <w:tblPrEx>
          <w:tblCellMar>
            <w:top w:w="0" w:type="dxa"/>
            <w:bottom w:w="0" w:type="dxa"/>
          </w:tblCellMar>
        </w:tblPrEx>
        <w:trPr>
          <w:tblHeader/>
        </w:trPr>
        <w:tc>
          <w:tcPr>
            <w:tcW w:w="82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Year</w:t>
            </w:r>
          </w:p>
        </w:tc>
        <w:tc>
          <w:tcPr>
            <w:tcW w:w="11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Stock Pre%</w:t>
            </w:r>
          </w:p>
        </w:tc>
        <w:tc>
          <w:tcPr>
            <w:tcW w:w="11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Nifty Pre%</w:t>
            </w:r>
          </w:p>
        </w:tc>
        <w:tc>
          <w:tcPr>
            <w:tcW w:w="12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Alpha Pre%</w:t>
            </w:r>
          </w:p>
        </w:tc>
        <w:tc>
          <w:tcPr>
            <w:tcW w:w="12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Outperform?</w:t>
            </w:r>
          </w:p>
        </w:tc>
        <w:tc>
          <w:tcPr>
            <w:tcW w:w="168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r>
              <w:rPr>
                <w:b/>
                <w:bCs/>
                <w:color w:val="FFFFFF"/>
                <w:sz w:val="18"/>
                <w:szCs w:val="18"/>
              </w:rPr>
              <w:t>Key driver</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2014</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+6.67%</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+4.20%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+2.47%</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Election euphoria; consumer boom</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2015</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+5.45%</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+2.80%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+2.65%</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Stable rates; rural demand</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lastRenderedPageBreak/>
              <w:t>2016</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+5.65%</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+3.10%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+2.55%</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Pre-demonetisation buying surge</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2017</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+7.46%</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+3.80%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+3.66%</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GST disruption — demand soft</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2018</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-5.08%</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-3.20%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8B0000"/>
                <w:sz w:val="18"/>
                <w:szCs w:val="18"/>
              </w:rPr>
              <w:t>-1.88%</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8B0000"/>
                <w:sz w:val="18"/>
                <w:szCs w:val="18"/>
              </w:rPr>
              <w:t>No</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IL&amp;FS / high crude — negative</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2019</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+9.21%</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+5.60%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+3.61%</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Auto worst slowdown in 20 yrs</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2020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+27.38%</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+15.40%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+11.98%</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COVID pent-up; massive surge</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2021</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+7.69%</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+4.80%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+2.89%</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Chip shortage; demand &gt; supply</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2022</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+3.68%</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+2.10%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+1.58%</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Strong festive; SUV premiumisation</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2023</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+9.26%</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+5.90%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+3.36%</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Record festive; EV narrative</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2024</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+5.80%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+3.80%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+2.00%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Healthy volumes; EV competition</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2025</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+5.10%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+3.10%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+2.00%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New launches; premiumisation</w:t>
            </w:r>
          </w:p>
        </w:tc>
      </w:tr>
    </w:tbl>
    <w:p w:rsidR="00BF5A02" w:rsidRDefault="00BF5A02">
      <w:pPr>
        <w:spacing w:before="100" w:after="100"/>
      </w:pPr>
    </w:p>
    <w:p w:rsidR="00BF5A02" w:rsidRDefault="00BF5A02">
      <w:pPr>
        <w:spacing w:before="100" w:after="100"/>
      </w:pPr>
    </w:p>
    <w:p w:rsidR="00BF5A02" w:rsidRDefault="002F3175">
      <w:pPr>
        <w:pStyle w:val="Heading2"/>
      </w:pPr>
      <w:r>
        <w:t>3.3  Kansai Nerolac  (Large Cap)</w:t>
      </w:r>
    </w:p>
    <w:p w:rsidR="00BF5A02" w:rsidRDefault="002F3175">
      <w:pPr>
        <w:spacing w:before="60" w:after="80"/>
      </w:pPr>
      <w:r>
        <w:t xml:space="preserve">Pre-Diwali Alpha: </w:t>
      </w:r>
      <w:r>
        <w:rPr>
          <w:b/>
          <w:bCs/>
          <w:color w:val="1A6B3A"/>
        </w:rPr>
        <w:t>+0.96%</w:t>
      </w:r>
      <w:r>
        <w:t xml:space="preserve">  |  t-stat: 3.232  |  p-value: 0.008  |  Significant: </w:t>
      </w:r>
      <w:r>
        <w:rPr>
          <w:b/>
          <w:bCs/>
          <w:color w:val="1A6B3A"/>
        </w:rPr>
        <w:t>Yes ✓</w:t>
      </w:r>
      <w:r>
        <w:rPr>
          <w:color w:val="444444"/>
        </w:rPr>
        <w:t xml:space="preserve">  |  Positive alpha years: 10/12</w:t>
      </w:r>
    </w:p>
    <w:tbl>
      <w:tblPr>
        <w:tblW w:w="7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5"/>
        <w:gridCol w:w="1088"/>
        <w:gridCol w:w="1088"/>
        <w:gridCol w:w="1174"/>
        <w:gridCol w:w="1300"/>
        <w:gridCol w:w="1645"/>
      </w:tblGrid>
      <w:tr w:rsidR="00BF5A02">
        <w:tblPrEx>
          <w:tblCellMar>
            <w:top w:w="0" w:type="dxa"/>
            <w:bottom w:w="0" w:type="dxa"/>
          </w:tblCellMar>
        </w:tblPrEx>
        <w:trPr>
          <w:tblHeader/>
        </w:trPr>
        <w:tc>
          <w:tcPr>
            <w:tcW w:w="82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Year</w:t>
            </w:r>
          </w:p>
        </w:tc>
        <w:tc>
          <w:tcPr>
            <w:tcW w:w="11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Stock Pre%</w:t>
            </w:r>
          </w:p>
        </w:tc>
        <w:tc>
          <w:tcPr>
            <w:tcW w:w="11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Nifty Pre%</w:t>
            </w:r>
          </w:p>
        </w:tc>
        <w:tc>
          <w:tcPr>
            <w:tcW w:w="12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Alpha Pre%</w:t>
            </w:r>
          </w:p>
        </w:tc>
        <w:tc>
          <w:tcPr>
            <w:tcW w:w="12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Outperform?</w:t>
            </w:r>
          </w:p>
        </w:tc>
        <w:tc>
          <w:tcPr>
            <w:tcW w:w="168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r>
              <w:rPr>
                <w:b/>
                <w:bCs/>
                <w:color w:val="FFFFFF"/>
                <w:sz w:val="18"/>
                <w:szCs w:val="18"/>
              </w:rPr>
              <w:t>Key driver</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2014</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+5.49%</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+4.20%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+1.29%</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Election euphoria; consumer boom</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2015</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+3.81%</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+2.80%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+1.01%</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Stable rates; rural demand</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2016</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+4.84%</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+3.10%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+1.74%</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Pre-demonetisation buying surge</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2017</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+4.56%</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+3.80%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+0.76%</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GST disruption — demand soft</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2018</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-4.41%</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-3.20%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8B0000"/>
                <w:sz w:val="18"/>
                <w:szCs w:val="18"/>
              </w:rPr>
              <w:t>-1.21%</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8B0000"/>
                <w:sz w:val="18"/>
                <w:szCs w:val="18"/>
              </w:rPr>
              <w:t>No</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IL&amp;FS / high crude — negative</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2019</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+7.44%</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+5.60%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+1.84%</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Auto worst slowdown in 20 yrs</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lastRenderedPageBreak/>
              <w:t>2020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+14.76%</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+15.40%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8B0000"/>
                <w:sz w:val="18"/>
                <w:szCs w:val="18"/>
              </w:rPr>
              <w:t>-0.64%</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8B0000"/>
                <w:sz w:val="18"/>
                <w:szCs w:val="18"/>
              </w:rPr>
              <w:t>No</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COVID pent-up; massive surge</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2021</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+6.86%</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+4.80%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+2.06%</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Chip shortage; demand &gt; supply</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2022</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+3.06%</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+2.10%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+0.96%</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Strong festive; SUV premiumisation</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2023</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+8.06%</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+5.90%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+2.16%</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Record festive; EV narrative</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2024</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+4.50%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+3.80%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+0.70%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Healthy volumes; EV competition</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2025</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+3.90%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+3.10%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+0.80%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New launches; premiumisation</w:t>
            </w:r>
          </w:p>
        </w:tc>
      </w:tr>
    </w:tbl>
    <w:p w:rsidR="00BF5A02" w:rsidRDefault="00BF5A02">
      <w:pPr>
        <w:spacing w:before="100" w:after="100"/>
      </w:pPr>
    </w:p>
    <w:p w:rsidR="00BF5A02" w:rsidRDefault="00BF5A02">
      <w:pPr>
        <w:spacing w:before="100" w:after="100"/>
      </w:pPr>
    </w:p>
    <w:p w:rsidR="00BF5A02" w:rsidRDefault="002F3175">
      <w:pPr>
        <w:pStyle w:val="Heading2"/>
      </w:pPr>
      <w:r>
        <w:t>3.4  Akzo Nobel  (Large Cap)</w:t>
      </w:r>
    </w:p>
    <w:p w:rsidR="00BF5A02" w:rsidRDefault="002F3175">
      <w:pPr>
        <w:spacing w:before="60" w:after="80"/>
      </w:pPr>
      <w:r>
        <w:t xml:space="preserve">Pre-Diwali Alpha: </w:t>
      </w:r>
      <w:r>
        <w:rPr>
          <w:b/>
          <w:bCs/>
          <w:color w:val="1A6B3A"/>
        </w:rPr>
        <w:t>+0.85%</w:t>
      </w:r>
      <w:r>
        <w:t xml:space="preserve">  |  t-stat: 3.048  |  p-value: 0.011  |  Significant: </w:t>
      </w:r>
      <w:r>
        <w:rPr>
          <w:b/>
          <w:bCs/>
          <w:color w:val="1A6B3A"/>
        </w:rPr>
        <w:t>Yes ✓</w:t>
      </w:r>
      <w:r>
        <w:rPr>
          <w:color w:val="444444"/>
        </w:rPr>
        <w:t xml:space="preserve">  |  Positive alpha years: 11/12</w:t>
      </w:r>
    </w:p>
    <w:tbl>
      <w:tblPr>
        <w:tblW w:w="7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5"/>
        <w:gridCol w:w="1088"/>
        <w:gridCol w:w="1088"/>
        <w:gridCol w:w="1174"/>
        <w:gridCol w:w="1300"/>
        <w:gridCol w:w="1645"/>
      </w:tblGrid>
      <w:tr w:rsidR="00BF5A02">
        <w:tblPrEx>
          <w:tblCellMar>
            <w:top w:w="0" w:type="dxa"/>
            <w:bottom w:w="0" w:type="dxa"/>
          </w:tblCellMar>
        </w:tblPrEx>
        <w:trPr>
          <w:tblHeader/>
        </w:trPr>
        <w:tc>
          <w:tcPr>
            <w:tcW w:w="82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Year</w:t>
            </w:r>
          </w:p>
        </w:tc>
        <w:tc>
          <w:tcPr>
            <w:tcW w:w="11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Stock Pre%</w:t>
            </w:r>
          </w:p>
        </w:tc>
        <w:tc>
          <w:tcPr>
            <w:tcW w:w="11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Nifty Pre%</w:t>
            </w:r>
          </w:p>
        </w:tc>
        <w:tc>
          <w:tcPr>
            <w:tcW w:w="12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Alpha Pre%</w:t>
            </w:r>
          </w:p>
        </w:tc>
        <w:tc>
          <w:tcPr>
            <w:tcW w:w="12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Outperform?</w:t>
            </w:r>
          </w:p>
        </w:tc>
        <w:tc>
          <w:tcPr>
            <w:tcW w:w="168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r>
              <w:rPr>
                <w:b/>
                <w:bCs/>
                <w:color w:val="FFFFFF"/>
                <w:sz w:val="18"/>
                <w:szCs w:val="18"/>
              </w:rPr>
              <w:t>Key driver</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2014</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+5.49%</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+4.20%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+1.29%</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Election euphoria; consumer boom</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2015</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+3.55%</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+2.80%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+0.75%</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Stable rates; rural demand</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2016</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+4.36%</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+3.10%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+1.26%</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Pre-demonetisation buying surge</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2017</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+5.07%</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+3.80%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+1.27%</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GST disruption — demand soft</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2018</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-2.63%</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-3.20%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+0.57%</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IL&amp;</w:t>
            </w:r>
            <w:r>
              <w:rPr>
                <w:i/>
                <w:iCs/>
                <w:color w:val="555555"/>
                <w:sz w:val="14"/>
                <w:szCs w:val="14"/>
              </w:rPr>
              <w:t>FS / high crude — negative</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2019</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+7.03%</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+5.60%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+1.43%</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Auto worst slowdown in 20 yrs</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2020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+13.54%</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+15.40%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8B0000"/>
                <w:sz w:val="18"/>
                <w:szCs w:val="18"/>
              </w:rPr>
              <w:t>-1.86%</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8B0000"/>
                <w:sz w:val="18"/>
                <w:szCs w:val="18"/>
              </w:rPr>
              <w:t>No</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COVID pent-up; massive surge</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2021</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+6.14%</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+4.80%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+1.34%</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Chip shortage; demand &gt; supply</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2022</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+3.41%</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+2.10%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+1.31%</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Strong festive; SUV premiumisation</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2023</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+7.80%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+5.90%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+1.90%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Record festive; EV narrative</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lastRenderedPageBreak/>
              <w:t>2024</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+4.20%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+3.80%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+0.40%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Healthy volumes; EV competition</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2025</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+3.60%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+3.10%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+0.50%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New launches; premiumisation</w:t>
            </w:r>
          </w:p>
        </w:tc>
      </w:tr>
    </w:tbl>
    <w:p w:rsidR="00BF5A02" w:rsidRDefault="00BF5A02">
      <w:pPr>
        <w:spacing w:before="100" w:after="100"/>
      </w:pPr>
    </w:p>
    <w:p w:rsidR="00BF5A02" w:rsidRDefault="00BF5A02">
      <w:pPr>
        <w:spacing w:before="100" w:after="100"/>
      </w:pPr>
    </w:p>
    <w:p w:rsidR="00BF5A02" w:rsidRDefault="002F3175">
      <w:pPr>
        <w:pStyle w:val="Heading2"/>
      </w:pPr>
      <w:r>
        <w:t>3.5  Indigo Paints  (Mid Cap)</w:t>
      </w:r>
    </w:p>
    <w:p w:rsidR="00BF5A02" w:rsidRDefault="002F3175">
      <w:pPr>
        <w:spacing w:before="60" w:after="80"/>
      </w:pPr>
      <w:r>
        <w:t xml:space="preserve">Pre-Diwali Alpha: </w:t>
      </w:r>
      <w:r>
        <w:rPr>
          <w:b/>
          <w:bCs/>
          <w:color w:val="1A6B3A"/>
        </w:rPr>
        <w:t>+5.82%</w:t>
      </w:r>
      <w:r>
        <w:t xml:space="preserve">  |  t-stat: 2.287  |  p-value: 0.071  |  Significant: </w:t>
      </w:r>
      <w:r>
        <w:rPr>
          <w:b/>
          <w:bCs/>
          <w:color w:val="8B0000"/>
        </w:rPr>
        <w:t>No</w:t>
      </w:r>
      <w:r>
        <w:rPr>
          <w:color w:val="444444"/>
        </w:rPr>
        <w:t xml:space="preserve">  |  Positive alpha years: 6/6</w:t>
      </w:r>
    </w:p>
    <w:tbl>
      <w:tblPr>
        <w:tblW w:w="7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4"/>
        <w:gridCol w:w="1087"/>
        <w:gridCol w:w="1087"/>
        <w:gridCol w:w="1180"/>
        <w:gridCol w:w="1300"/>
        <w:gridCol w:w="1642"/>
      </w:tblGrid>
      <w:tr w:rsidR="00BF5A02">
        <w:tblPrEx>
          <w:tblCellMar>
            <w:top w:w="0" w:type="dxa"/>
            <w:bottom w:w="0" w:type="dxa"/>
          </w:tblCellMar>
        </w:tblPrEx>
        <w:trPr>
          <w:tblHeader/>
        </w:trPr>
        <w:tc>
          <w:tcPr>
            <w:tcW w:w="82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Year</w:t>
            </w:r>
          </w:p>
        </w:tc>
        <w:tc>
          <w:tcPr>
            <w:tcW w:w="11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Stock Pre%</w:t>
            </w:r>
          </w:p>
        </w:tc>
        <w:tc>
          <w:tcPr>
            <w:tcW w:w="11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Nifty Pre%</w:t>
            </w:r>
          </w:p>
        </w:tc>
        <w:tc>
          <w:tcPr>
            <w:tcW w:w="12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Alpha Pre%</w:t>
            </w:r>
          </w:p>
        </w:tc>
        <w:tc>
          <w:tcPr>
            <w:tcW w:w="12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Outperform?</w:t>
            </w:r>
          </w:p>
        </w:tc>
        <w:tc>
          <w:tcPr>
            <w:tcW w:w="168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r>
              <w:rPr>
                <w:b/>
                <w:bCs/>
                <w:color w:val="FFFFFF"/>
                <w:sz w:val="18"/>
                <w:szCs w:val="18"/>
              </w:rPr>
              <w:t>Key driver</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2020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+33.78%</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+15.40%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+18.38%</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COVID pent-up; massive surge</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2021</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+9.06%</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+4.80%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+4.26%</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Chip shortage; demand &gt; supply</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2022</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+4.05%</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+2.10%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+1.95%</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Strong festive; SUV premiumisation</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2023</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+10.40%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+5.90%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+4.50%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Record festive; EV narrative</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2024</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+6.80%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+3.80%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+3.00%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Healthy volumes; EV competition</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2025</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+5.90%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+3.10%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+2.80%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New launches; premiumisation</w:t>
            </w:r>
          </w:p>
        </w:tc>
      </w:tr>
    </w:tbl>
    <w:p w:rsidR="00BF5A02" w:rsidRDefault="00BF5A02">
      <w:pPr>
        <w:spacing w:before="100" w:after="100"/>
      </w:pPr>
    </w:p>
    <w:p w:rsidR="00BF5A02" w:rsidRDefault="00BF5A02">
      <w:pPr>
        <w:spacing w:before="100" w:after="100"/>
      </w:pPr>
    </w:p>
    <w:p w:rsidR="00BF5A02" w:rsidRDefault="002F3175">
      <w:pPr>
        <w:pStyle w:val="Heading2"/>
      </w:pPr>
      <w:r>
        <w:t>3.6  Shalimar Paints  (Mid Cap)</w:t>
      </w:r>
    </w:p>
    <w:p w:rsidR="00BF5A02" w:rsidRDefault="002F3175">
      <w:pPr>
        <w:spacing w:before="60" w:after="80"/>
      </w:pPr>
      <w:r>
        <w:t xml:space="preserve">Pre-Diwali Alpha: </w:t>
      </w:r>
      <w:r>
        <w:rPr>
          <w:b/>
          <w:bCs/>
          <w:color w:val="1A6B3A"/>
        </w:rPr>
        <w:t>+2.04%</w:t>
      </w:r>
      <w:r>
        <w:t xml:space="preserve">  |  t-stat: 3.845  |  p-value: 0.003  |  Significant: </w:t>
      </w:r>
      <w:r>
        <w:rPr>
          <w:b/>
          <w:bCs/>
          <w:color w:val="1A6B3A"/>
        </w:rPr>
        <w:t>Yes ✓</w:t>
      </w:r>
      <w:r>
        <w:rPr>
          <w:color w:val="444444"/>
        </w:rPr>
        <w:t xml:space="preserve">  |  Positive alpha years: 11/12</w:t>
      </w:r>
    </w:p>
    <w:tbl>
      <w:tblPr>
        <w:tblW w:w="7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5"/>
        <w:gridCol w:w="1088"/>
        <w:gridCol w:w="1088"/>
        <w:gridCol w:w="1174"/>
        <w:gridCol w:w="1300"/>
        <w:gridCol w:w="1645"/>
      </w:tblGrid>
      <w:tr w:rsidR="00BF5A02">
        <w:tblPrEx>
          <w:tblCellMar>
            <w:top w:w="0" w:type="dxa"/>
            <w:bottom w:w="0" w:type="dxa"/>
          </w:tblCellMar>
        </w:tblPrEx>
        <w:trPr>
          <w:tblHeader/>
        </w:trPr>
        <w:tc>
          <w:tcPr>
            <w:tcW w:w="82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Year</w:t>
            </w:r>
          </w:p>
        </w:tc>
        <w:tc>
          <w:tcPr>
            <w:tcW w:w="11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Stock Pre%</w:t>
            </w:r>
          </w:p>
        </w:tc>
        <w:tc>
          <w:tcPr>
            <w:tcW w:w="11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Nifty Pre%</w:t>
            </w:r>
          </w:p>
        </w:tc>
        <w:tc>
          <w:tcPr>
            <w:tcW w:w="12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Alpha Pre%</w:t>
            </w:r>
          </w:p>
        </w:tc>
        <w:tc>
          <w:tcPr>
            <w:tcW w:w="12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Outperform?</w:t>
            </w:r>
          </w:p>
        </w:tc>
        <w:tc>
          <w:tcPr>
            <w:tcW w:w="168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r>
              <w:rPr>
                <w:b/>
                <w:bCs/>
                <w:color w:val="FFFFFF"/>
                <w:sz w:val="18"/>
                <w:szCs w:val="18"/>
              </w:rPr>
              <w:t>Key driver</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2014</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+6.45%</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+4.20%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+2.25%</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Election euphoria; consumer boom</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2015</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+5.17%</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+2.80%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+2.37%</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Stable rates; rural demand</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2016</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+8.33%</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+3.10%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+5.23%</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Pre-demonetisation buying surge</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lastRenderedPageBreak/>
              <w:t>2017</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+7.95%</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+3.80%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+4.15%</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GST disruption — demand soft</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2018</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-5.26%</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-3.20%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8B0000"/>
                <w:sz w:val="18"/>
                <w:szCs w:val="18"/>
              </w:rPr>
              <w:t>-2.06%</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8B0000"/>
                <w:sz w:val="18"/>
                <w:szCs w:val="18"/>
              </w:rPr>
              <w:t>No</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IL&amp;FS / high crude — negative</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2019</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+8.82%</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+5.60%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+3.22%</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Auto worst slowdown in 20 yrs</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2020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+16.13%</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+15.40%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+0.73%</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COVID pent-up; massive surge</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2021</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+7.37%</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+4.80%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+2.57%</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Chip shortage; demand &gt; supply</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2022</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+3.66%</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+2.10%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+1.56%</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Strong festive; SUV premiumisation</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2023</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+8.11%</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+5.90%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+2.21%</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Record festive; EV narrative</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2024</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+4.90%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+3.80%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+1.10%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Healthy volumes; EV competition</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2025</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+4.20%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+3.10%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+1.10%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New launches; premiumisation</w:t>
            </w:r>
          </w:p>
        </w:tc>
      </w:tr>
    </w:tbl>
    <w:p w:rsidR="00BF5A02" w:rsidRDefault="00BF5A02">
      <w:pPr>
        <w:spacing w:before="100" w:after="100"/>
      </w:pPr>
    </w:p>
    <w:p w:rsidR="00BF5A02" w:rsidRDefault="00BF5A02">
      <w:pPr>
        <w:spacing w:before="80" w:after="80"/>
      </w:pPr>
    </w:p>
    <w:p w:rsidR="00BF5A02" w:rsidRDefault="00BF5A02">
      <w:pPr>
        <w:pBdr>
          <w:bottom w:val="single" w:sz="4" w:space="1" w:color="2980B9"/>
        </w:pBdr>
        <w:spacing w:before="180" w:after="180"/>
      </w:pPr>
    </w:p>
    <w:p w:rsidR="00BF5A02" w:rsidRDefault="002F3175">
      <w:pPr>
        <w:pStyle w:val="Heading1"/>
      </w:pPr>
      <w:r>
        <w:t>4. Auto Stocks — Alpha Analysis</w:t>
      </w:r>
    </w:p>
    <w:p w:rsidR="00BF5A02" w:rsidRDefault="002F3175">
      <w:pPr>
        <w:spacing w:before="80" w:after="80"/>
      </w:pPr>
      <w:r>
        <w:rPr>
          <w:color w:val="222222"/>
        </w:rPr>
        <w:t>The auto sector alpha analysis reveals a fundamentally different pattern from paint stocks — alpha not only exists Pre-Diwali but PERSISTS across all four windows for most stocks.</w:t>
      </w:r>
    </w:p>
    <w:p w:rsidR="00BF5A02" w:rsidRDefault="00BF5A02">
      <w:pPr>
        <w:spacing w:before="100" w:after="100"/>
      </w:pPr>
    </w:p>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50"/>
        <w:gridCol w:w="1161"/>
        <w:gridCol w:w="970"/>
        <w:gridCol w:w="970"/>
        <w:gridCol w:w="970"/>
        <w:gridCol w:w="970"/>
        <w:gridCol w:w="876"/>
        <w:gridCol w:w="876"/>
        <w:gridCol w:w="829"/>
        <w:gridCol w:w="888"/>
      </w:tblGrid>
      <w:tr w:rsidR="00BF5A02">
        <w:tblPrEx>
          <w:tblCellMar>
            <w:top w:w="0" w:type="dxa"/>
            <w:bottom w:w="0" w:type="dxa"/>
          </w:tblCellMar>
        </w:tblPrEx>
        <w:trPr>
          <w:tblHeader/>
        </w:trPr>
        <w:tc>
          <w:tcPr>
            <w:tcW w:w="148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r>
              <w:rPr>
                <w:b/>
                <w:bCs/>
                <w:color w:val="FFFFFF"/>
                <w:sz w:val="18"/>
                <w:szCs w:val="18"/>
              </w:rPr>
              <w:t>Stock</w:t>
            </w:r>
          </w:p>
        </w:tc>
        <w:tc>
          <w:tcPr>
            <w:tcW w:w="106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Segment</w:t>
            </w:r>
          </w:p>
        </w:tc>
        <w:tc>
          <w:tcPr>
            <w:tcW w:w="98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Stock Pre%</w:t>
            </w:r>
          </w:p>
        </w:tc>
        <w:tc>
          <w:tcPr>
            <w:tcW w:w="98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Nifty Pre%</w:t>
            </w:r>
          </w:p>
        </w:tc>
        <w:tc>
          <w:tcPr>
            <w:tcW w:w="98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Alpha Pre%</w:t>
            </w:r>
          </w:p>
        </w:tc>
        <w:tc>
          <w:tcPr>
            <w:tcW w:w="98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Alpha On%</w:t>
            </w:r>
          </w:p>
        </w:tc>
        <w:tc>
          <w:tcPr>
            <w:tcW w:w="88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Alpha P15%</w:t>
            </w:r>
          </w:p>
        </w:tc>
        <w:tc>
          <w:tcPr>
            <w:tcW w:w="88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Alpha P30%</w:t>
            </w:r>
          </w:p>
        </w:tc>
        <w:tc>
          <w:tcPr>
            <w:tcW w:w="84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p-val Pre</w:t>
            </w:r>
          </w:p>
        </w:tc>
        <w:tc>
          <w:tcPr>
            <w:tcW w:w="9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Alpha Sig?</w:t>
            </w:r>
          </w:p>
        </w:tc>
      </w:tr>
      <w:tr w:rsidR="00BF5A02">
        <w:tblPrEx>
          <w:tblCellMar>
            <w:top w:w="0" w:type="dxa"/>
            <w:bottom w:w="0" w:type="dxa"/>
          </w:tblCellMar>
        </w:tblPrEx>
        <w:tc>
          <w:tcPr>
            <w:tcW w:w="14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color w:val="222222"/>
                <w:sz w:val="18"/>
                <w:szCs w:val="18"/>
              </w:rPr>
              <w:t>Maruti Suzuki</w:t>
            </w:r>
          </w:p>
        </w:tc>
        <w:tc>
          <w:tcPr>
            <w:tcW w:w="106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22222"/>
                <w:sz w:val="18"/>
                <w:szCs w:val="18"/>
              </w:rPr>
              <w:t>Four Wheeler</w:t>
            </w:r>
          </w:p>
        </w:tc>
        <w:tc>
          <w:tcPr>
            <w:tcW w:w="9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+6.95%</w:t>
            </w:r>
          </w:p>
        </w:tc>
        <w:tc>
          <w:tcPr>
            <w:tcW w:w="9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+4.28%</w:t>
            </w:r>
          </w:p>
        </w:tc>
        <w:tc>
          <w:tcPr>
            <w:tcW w:w="9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+2.67%</w:t>
            </w:r>
          </w:p>
        </w:tc>
        <w:tc>
          <w:tcPr>
            <w:tcW w:w="9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1A6B3A"/>
                <w:sz w:val="18"/>
                <w:szCs w:val="18"/>
              </w:rPr>
              <w:t>+0.72%</w:t>
            </w:r>
          </w:p>
        </w:tc>
        <w:tc>
          <w:tcPr>
            <w:tcW w:w="8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1A6B3A"/>
                <w:sz w:val="18"/>
                <w:szCs w:val="18"/>
              </w:rPr>
              <w:t>+1.83%</w:t>
            </w:r>
          </w:p>
        </w:tc>
        <w:tc>
          <w:tcPr>
            <w:tcW w:w="8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1A6B3A"/>
                <w:sz w:val="18"/>
                <w:szCs w:val="18"/>
              </w:rPr>
              <w:t>+2.40%</w:t>
            </w:r>
          </w:p>
        </w:tc>
        <w:tc>
          <w:tcPr>
            <w:tcW w:w="84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1A6B3A"/>
                <w:sz w:val="18"/>
                <w:szCs w:val="18"/>
              </w:rPr>
              <w:t>0.006</w:t>
            </w:r>
          </w:p>
        </w:tc>
        <w:tc>
          <w:tcPr>
            <w:tcW w:w="9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 ✓</w:t>
            </w:r>
          </w:p>
        </w:tc>
      </w:tr>
      <w:tr w:rsidR="00BF5A02">
        <w:tblPrEx>
          <w:tblCellMar>
            <w:top w:w="0" w:type="dxa"/>
            <w:bottom w:w="0" w:type="dxa"/>
          </w:tblCellMar>
        </w:tblPrEx>
        <w:tc>
          <w:tcPr>
            <w:tcW w:w="14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color w:val="222222"/>
                <w:sz w:val="18"/>
                <w:szCs w:val="18"/>
              </w:rPr>
              <w:t>Tata Motors</w:t>
            </w:r>
          </w:p>
        </w:tc>
        <w:tc>
          <w:tcPr>
            <w:tcW w:w="106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22222"/>
                <w:sz w:val="18"/>
                <w:szCs w:val="18"/>
              </w:rPr>
              <w:t>Four Wheeler</w:t>
            </w:r>
          </w:p>
        </w:tc>
        <w:tc>
          <w:tcPr>
            <w:tcW w:w="9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+9.21%</w:t>
            </w:r>
          </w:p>
        </w:tc>
        <w:tc>
          <w:tcPr>
            <w:tcW w:w="9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+4.28%</w:t>
            </w:r>
          </w:p>
        </w:tc>
        <w:tc>
          <w:tcPr>
            <w:tcW w:w="9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+4.92%</w:t>
            </w:r>
          </w:p>
        </w:tc>
        <w:tc>
          <w:tcPr>
            <w:tcW w:w="9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1A6B3A"/>
                <w:sz w:val="18"/>
                <w:szCs w:val="18"/>
              </w:rPr>
              <w:t>+1.16%</w:t>
            </w:r>
          </w:p>
        </w:tc>
        <w:tc>
          <w:tcPr>
            <w:tcW w:w="8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1A6B3A"/>
                <w:sz w:val="18"/>
                <w:szCs w:val="18"/>
              </w:rPr>
              <w:t>+2.48%</w:t>
            </w:r>
          </w:p>
        </w:tc>
        <w:tc>
          <w:tcPr>
            <w:tcW w:w="8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1A6B3A"/>
                <w:sz w:val="18"/>
                <w:szCs w:val="18"/>
              </w:rPr>
              <w:t>+3.33%</w:t>
            </w:r>
          </w:p>
        </w:tc>
        <w:tc>
          <w:tcPr>
            <w:tcW w:w="84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1A6B3A"/>
                <w:sz w:val="18"/>
                <w:szCs w:val="18"/>
              </w:rPr>
              <w:t>0.004</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 ✓</w:t>
            </w:r>
          </w:p>
        </w:tc>
      </w:tr>
      <w:tr w:rsidR="00BF5A02">
        <w:tblPrEx>
          <w:tblCellMar>
            <w:top w:w="0" w:type="dxa"/>
            <w:bottom w:w="0" w:type="dxa"/>
          </w:tblCellMar>
        </w:tblPrEx>
        <w:tc>
          <w:tcPr>
            <w:tcW w:w="14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color w:val="222222"/>
                <w:sz w:val="18"/>
                <w:szCs w:val="18"/>
              </w:rPr>
              <w:t>M&amp;M</w:t>
            </w:r>
          </w:p>
        </w:tc>
        <w:tc>
          <w:tcPr>
            <w:tcW w:w="106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22222"/>
                <w:sz w:val="18"/>
                <w:szCs w:val="18"/>
              </w:rPr>
              <w:t>Four Wheeler</w:t>
            </w:r>
          </w:p>
        </w:tc>
        <w:tc>
          <w:tcPr>
            <w:tcW w:w="9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+9.66%</w:t>
            </w:r>
          </w:p>
        </w:tc>
        <w:tc>
          <w:tcPr>
            <w:tcW w:w="9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+4.28%</w:t>
            </w:r>
          </w:p>
        </w:tc>
        <w:tc>
          <w:tcPr>
            <w:tcW w:w="9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+5.38%</w:t>
            </w:r>
          </w:p>
        </w:tc>
        <w:tc>
          <w:tcPr>
            <w:tcW w:w="9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1A6B3A"/>
                <w:sz w:val="18"/>
                <w:szCs w:val="18"/>
              </w:rPr>
              <w:t>+1.24%</w:t>
            </w:r>
          </w:p>
        </w:tc>
        <w:tc>
          <w:tcPr>
            <w:tcW w:w="8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1A6B3A"/>
                <w:sz w:val="18"/>
                <w:szCs w:val="18"/>
              </w:rPr>
              <w:t>+2.91%</w:t>
            </w:r>
          </w:p>
        </w:tc>
        <w:tc>
          <w:tcPr>
            <w:tcW w:w="8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1A6B3A"/>
                <w:sz w:val="18"/>
                <w:szCs w:val="18"/>
              </w:rPr>
              <w:t>+4.02%</w:t>
            </w:r>
          </w:p>
        </w:tc>
        <w:tc>
          <w:tcPr>
            <w:tcW w:w="84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1A6B3A"/>
                <w:sz w:val="18"/>
                <w:szCs w:val="18"/>
              </w:rPr>
              <w:t>0.002</w:t>
            </w:r>
          </w:p>
        </w:tc>
        <w:tc>
          <w:tcPr>
            <w:tcW w:w="9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 ✓</w:t>
            </w:r>
          </w:p>
        </w:tc>
      </w:tr>
      <w:tr w:rsidR="00BF5A02">
        <w:tblPrEx>
          <w:tblCellMar>
            <w:top w:w="0" w:type="dxa"/>
            <w:bottom w:w="0" w:type="dxa"/>
          </w:tblCellMar>
        </w:tblPrEx>
        <w:tc>
          <w:tcPr>
            <w:tcW w:w="14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color w:val="222222"/>
                <w:sz w:val="18"/>
                <w:szCs w:val="18"/>
              </w:rPr>
              <w:lastRenderedPageBreak/>
              <w:t>Ashok Leyland</w:t>
            </w:r>
          </w:p>
        </w:tc>
        <w:tc>
          <w:tcPr>
            <w:tcW w:w="106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22222"/>
                <w:sz w:val="18"/>
                <w:szCs w:val="18"/>
              </w:rPr>
              <w:t>Commercial</w:t>
            </w:r>
          </w:p>
        </w:tc>
        <w:tc>
          <w:tcPr>
            <w:tcW w:w="9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+7.98%</w:t>
            </w:r>
          </w:p>
        </w:tc>
        <w:tc>
          <w:tcPr>
            <w:tcW w:w="9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+4.28%</w:t>
            </w:r>
          </w:p>
        </w:tc>
        <w:tc>
          <w:tcPr>
            <w:tcW w:w="9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+3.70%</w:t>
            </w:r>
          </w:p>
        </w:tc>
        <w:tc>
          <w:tcPr>
            <w:tcW w:w="9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1A6B3A"/>
                <w:sz w:val="18"/>
                <w:szCs w:val="18"/>
              </w:rPr>
              <w:t>+0.93%</w:t>
            </w:r>
          </w:p>
        </w:tc>
        <w:tc>
          <w:tcPr>
            <w:tcW w:w="8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1A6B3A"/>
                <w:sz w:val="18"/>
                <w:szCs w:val="18"/>
              </w:rPr>
              <w:t>+2.19%</w:t>
            </w:r>
          </w:p>
        </w:tc>
        <w:tc>
          <w:tcPr>
            <w:tcW w:w="8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1A6B3A"/>
                <w:sz w:val="18"/>
                <w:szCs w:val="18"/>
              </w:rPr>
              <w:t>+2.94%</w:t>
            </w:r>
          </w:p>
        </w:tc>
        <w:tc>
          <w:tcPr>
            <w:tcW w:w="84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1A6B3A"/>
                <w:sz w:val="18"/>
                <w:szCs w:val="18"/>
              </w:rPr>
              <w:t>0.016</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 ✓</w:t>
            </w:r>
          </w:p>
        </w:tc>
      </w:tr>
      <w:tr w:rsidR="00BF5A02">
        <w:tblPrEx>
          <w:tblCellMar>
            <w:top w:w="0" w:type="dxa"/>
            <w:bottom w:w="0" w:type="dxa"/>
          </w:tblCellMar>
        </w:tblPrEx>
        <w:tc>
          <w:tcPr>
            <w:tcW w:w="14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color w:val="222222"/>
                <w:sz w:val="18"/>
                <w:szCs w:val="18"/>
              </w:rPr>
              <w:t>Eicher Motors</w:t>
            </w:r>
          </w:p>
        </w:tc>
        <w:tc>
          <w:tcPr>
            <w:tcW w:w="106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22222"/>
                <w:sz w:val="18"/>
                <w:szCs w:val="18"/>
              </w:rPr>
              <w:t>Two Wheeler</w:t>
            </w:r>
          </w:p>
        </w:tc>
        <w:tc>
          <w:tcPr>
            <w:tcW w:w="9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+9.80%</w:t>
            </w:r>
          </w:p>
        </w:tc>
        <w:tc>
          <w:tcPr>
            <w:tcW w:w="9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+4.28%</w:t>
            </w:r>
          </w:p>
        </w:tc>
        <w:tc>
          <w:tcPr>
            <w:tcW w:w="9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+5.52%</w:t>
            </w:r>
          </w:p>
        </w:tc>
        <w:tc>
          <w:tcPr>
            <w:tcW w:w="9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1A6B3A"/>
                <w:sz w:val="18"/>
                <w:szCs w:val="18"/>
              </w:rPr>
              <w:t>+1.27%</w:t>
            </w:r>
          </w:p>
        </w:tc>
        <w:tc>
          <w:tcPr>
            <w:tcW w:w="8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1A6B3A"/>
                <w:sz w:val="18"/>
                <w:szCs w:val="18"/>
              </w:rPr>
              <w:t>+3.04%</w:t>
            </w:r>
          </w:p>
        </w:tc>
        <w:tc>
          <w:tcPr>
            <w:tcW w:w="8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1A6B3A"/>
                <w:sz w:val="18"/>
                <w:szCs w:val="18"/>
              </w:rPr>
              <w:t>+4.14%</w:t>
            </w:r>
          </w:p>
        </w:tc>
        <w:tc>
          <w:tcPr>
            <w:tcW w:w="84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1A6B3A"/>
                <w:sz w:val="18"/>
                <w:szCs w:val="18"/>
              </w:rPr>
              <w:t>0.000</w:t>
            </w:r>
          </w:p>
        </w:tc>
        <w:tc>
          <w:tcPr>
            <w:tcW w:w="9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 ✓</w:t>
            </w:r>
          </w:p>
        </w:tc>
      </w:tr>
      <w:tr w:rsidR="00BF5A02">
        <w:tblPrEx>
          <w:tblCellMar>
            <w:top w:w="0" w:type="dxa"/>
            <w:bottom w:w="0" w:type="dxa"/>
          </w:tblCellMar>
        </w:tblPrEx>
        <w:tc>
          <w:tcPr>
            <w:tcW w:w="14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color w:val="222222"/>
                <w:sz w:val="18"/>
                <w:szCs w:val="18"/>
              </w:rPr>
              <w:t>Hero MotoCorp</w:t>
            </w:r>
          </w:p>
        </w:tc>
        <w:tc>
          <w:tcPr>
            <w:tcW w:w="106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22222"/>
                <w:sz w:val="18"/>
                <w:szCs w:val="18"/>
              </w:rPr>
              <w:t>Two Wheeler</w:t>
            </w:r>
          </w:p>
        </w:tc>
        <w:tc>
          <w:tcPr>
            <w:tcW w:w="9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+5.82%</w:t>
            </w:r>
          </w:p>
        </w:tc>
        <w:tc>
          <w:tcPr>
            <w:tcW w:w="9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+4.28%</w:t>
            </w:r>
          </w:p>
        </w:tc>
        <w:tc>
          <w:tcPr>
            <w:tcW w:w="9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+1.53%</w:t>
            </w:r>
          </w:p>
        </w:tc>
        <w:tc>
          <w:tcPr>
            <w:tcW w:w="9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1A6B3A"/>
                <w:sz w:val="18"/>
                <w:szCs w:val="18"/>
              </w:rPr>
              <w:t>+0.51%</w:t>
            </w:r>
          </w:p>
        </w:tc>
        <w:tc>
          <w:tcPr>
            <w:tcW w:w="8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1A6B3A"/>
                <w:sz w:val="18"/>
                <w:szCs w:val="18"/>
              </w:rPr>
              <w:t>+1.54%</w:t>
            </w:r>
          </w:p>
        </w:tc>
        <w:tc>
          <w:tcPr>
            <w:tcW w:w="8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1A6B3A"/>
                <w:sz w:val="18"/>
                <w:szCs w:val="18"/>
              </w:rPr>
              <w:t>+1.89%</w:t>
            </w:r>
          </w:p>
        </w:tc>
        <w:tc>
          <w:tcPr>
            <w:tcW w:w="84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1A6B3A"/>
                <w:sz w:val="18"/>
                <w:szCs w:val="18"/>
              </w:rPr>
              <w:t>0.010</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 ✓</w:t>
            </w:r>
          </w:p>
        </w:tc>
      </w:tr>
      <w:tr w:rsidR="00BF5A02">
        <w:tblPrEx>
          <w:tblCellMar>
            <w:top w:w="0" w:type="dxa"/>
            <w:bottom w:w="0" w:type="dxa"/>
          </w:tblCellMar>
        </w:tblPrEx>
        <w:tc>
          <w:tcPr>
            <w:tcW w:w="14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color w:val="222222"/>
                <w:sz w:val="18"/>
                <w:szCs w:val="18"/>
              </w:rPr>
              <w:t>Bajaj Auto</w:t>
            </w:r>
          </w:p>
        </w:tc>
        <w:tc>
          <w:tcPr>
            <w:tcW w:w="106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22222"/>
                <w:sz w:val="18"/>
                <w:szCs w:val="18"/>
              </w:rPr>
              <w:t>Two Wheeler</w:t>
            </w:r>
          </w:p>
        </w:tc>
        <w:tc>
          <w:tcPr>
            <w:tcW w:w="9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+7.42%</w:t>
            </w:r>
          </w:p>
        </w:tc>
        <w:tc>
          <w:tcPr>
            <w:tcW w:w="9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+4.28%</w:t>
            </w:r>
          </w:p>
        </w:tc>
        <w:tc>
          <w:tcPr>
            <w:tcW w:w="9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+3.13%</w:t>
            </w:r>
          </w:p>
        </w:tc>
        <w:tc>
          <w:tcPr>
            <w:tcW w:w="9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1A6B3A"/>
                <w:sz w:val="18"/>
                <w:szCs w:val="18"/>
              </w:rPr>
              <w:t>+0.82%</w:t>
            </w:r>
          </w:p>
        </w:tc>
        <w:tc>
          <w:tcPr>
            <w:tcW w:w="8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1A6B3A"/>
                <w:sz w:val="18"/>
                <w:szCs w:val="18"/>
              </w:rPr>
              <w:t>+2.14%</w:t>
            </w:r>
          </w:p>
        </w:tc>
        <w:tc>
          <w:tcPr>
            <w:tcW w:w="8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1A6B3A"/>
                <w:sz w:val="18"/>
                <w:szCs w:val="18"/>
              </w:rPr>
              <w:t>+2.81%</w:t>
            </w:r>
          </w:p>
        </w:tc>
        <w:tc>
          <w:tcPr>
            <w:tcW w:w="84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1A6B3A"/>
                <w:sz w:val="18"/>
                <w:szCs w:val="18"/>
              </w:rPr>
              <w:t>0.000</w:t>
            </w:r>
          </w:p>
        </w:tc>
        <w:tc>
          <w:tcPr>
            <w:tcW w:w="9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 ✓</w:t>
            </w:r>
          </w:p>
        </w:tc>
      </w:tr>
      <w:tr w:rsidR="00BF5A02">
        <w:tblPrEx>
          <w:tblCellMar>
            <w:top w:w="0" w:type="dxa"/>
            <w:bottom w:w="0" w:type="dxa"/>
          </w:tblCellMar>
        </w:tblPrEx>
        <w:tc>
          <w:tcPr>
            <w:tcW w:w="14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color w:val="222222"/>
                <w:sz w:val="18"/>
                <w:szCs w:val="18"/>
              </w:rPr>
              <w:t>TVS Motor</w:t>
            </w:r>
          </w:p>
        </w:tc>
        <w:tc>
          <w:tcPr>
            <w:tcW w:w="106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22222"/>
                <w:sz w:val="18"/>
                <w:szCs w:val="18"/>
              </w:rPr>
              <w:t>Two Wheeler</w:t>
            </w:r>
          </w:p>
        </w:tc>
        <w:tc>
          <w:tcPr>
            <w:tcW w:w="9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+8.92%</w:t>
            </w:r>
          </w:p>
        </w:tc>
        <w:tc>
          <w:tcPr>
            <w:tcW w:w="9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+4.28%</w:t>
            </w:r>
          </w:p>
        </w:tc>
        <w:tc>
          <w:tcPr>
            <w:tcW w:w="9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+4.63%</w:t>
            </w:r>
          </w:p>
        </w:tc>
        <w:tc>
          <w:tcPr>
            <w:tcW w:w="9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1A6B3A"/>
                <w:sz w:val="18"/>
                <w:szCs w:val="18"/>
              </w:rPr>
              <w:t>+1.11%</w:t>
            </w:r>
          </w:p>
        </w:tc>
        <w:tc>
          <w:tcPr>
            <w:tcW w:w="8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1A6B3A"/>
                <w:sz w:val="18"/>
                <w:szCs w:val="18"/>
              </w:rPr>
              <w:t>+2.66%</w:t>
            </w:r>
          </w:p>
        </w:tc>
        <w:tc>
          <w:tcPr>
            <w:tcW w:w="8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1A6B3A"/>
                <w:sz w:val="18"/>
                <w:szCs w:val="18"/>
              </w:rPr>
              <w:t>+3.54%</w:t>
            </w:r>
          </w:p>
        </w:tc>
        <w:tc>
          <w:tcPr>
            <w:tcW w:w="84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1A6B3A"/>
                <w:sz w:val="18"/>
                <w:szCs w:val="18"/>
              </w:rPr>
              <w:t>0.000</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 ✓</w:t>
            </w:r>
          </w:p>
        </w:tc>
      </w:tr>
    </w:tbl>
    <w:p w:rsidR="00BF5A02" w:rsidRDefault="00BF5A02">
      <w:pPr>
        <w:spacing w:before="100" w:after="100"/>
      </w:pPr>
    </w:p>
    <w:p w:rsidR="00BF5A02" w:rsidRDefault="002F3175">
      <w:pPr>
        <w:spacing w:before="160" w:after="80"/>
      </w:pPr>
      <w:r>
        <w:rPr>
          <w:b/>
          <w:bCs/>
          <w:color w:val="1A252F"/>
          <w:sz w:val="22"/>
          <w:szCs w:val="22"/>
        </w:rPr>
        <w:t>Auto sector alpha conclusions — the critical finding</w:t>
      </w:r>
    </w:p>
    <w:p w:rsidR="00BF5A02" w:rsidRDefault="002F3175">
      <w:pPr>
        <w:pStyle w:val="ListParagraph"/>
        <w:numPr>
          <w:ilvl w:val="0"/>
          <w:numId w:val="2"/>
        </w:numPr>
        <w:spacing w:before="50" w:after="50"/>
      </w:pPr>
      <w:r>
        <w:t>All 8 auto stocks show statistically significant Pre-Diwali alpha above Nifty. Unlike paint, the alpha is larger — ranging from +1.53% (Hero) to +5.52% (Eicher Motors).</w:t>
      </w:r>
    </w:p>
    <w:p w:rsidR="00BF5A02" w:rsidRDefault="002F3175">
      <w:pPr>
        <w:pStyle w:val="ListParagraph"/>
        <w:numPr>
          <w:ilvl w:val="0"/>
          <w:numId w:val="2"/>
        </w:numPr>
        <w:spacing w:before="50" w:after="50"/>
      </w:pPr>
      <w:r>
        <w:t>CRITICAL: Auto stock alpha is significant in ALL FOUR WINDOWS for most stocks — Pre-30d</w:t>
      </w:r>
      <w:r>
        <w:t>, On Day, Post-15d, AND Post-30d. This is fundamentally different from paint stocks where Post-Diwali alpha is zero.</w:t>
      </w:r>
    </w:p>
    <w:p w:rsidR="00BF5A02" w:rsidRDefault="002F3175">
      <w:pPr>
        <w:pStyle w:val="ListParagraph"/>
        <w:numPr>
          <w:ilvl w:val="0"/>
          <w:numId w:val="2"/>
        </w:numPr>
        <w:spacing w:before="50" w:after="50"/>
      </w:pPr>
      <w:r>
        <w:t>The persistence of alpha Post-Diwali in auto stocks reflects real fundamental demand continuation — actual vehicle deliveries, retail sales</w:t>
      </w:r>
      <w:r>
        <w:t xml:space="preserve"> data releases, and channel inventory restocking — not just sentiment front-running.</w:t>
      </w:r>
    </w:p>
    <w:p w:rsidR="00BF5A02" w:rsidRDefault="002F3175">
      <w:pPr>
        <w:pStyle w:val="ListParagraph"/>
        <w:numPr>
          <w:ilvl w:val="0"/>
          <w:numId w:val="2"/>
        </w:numPr>
        <w:spacing w:before="50" w:after="50"/>
      </w:pPr>
      <w:r>
        <w:t>Eicher Motors leads all stocks in alpha across every window — +5.52% Pre, +4.14% Post-30d. Royal Enfield'</w:t>
      </w:r>
      <w:r>
        <w:t>s aspirational positioning and concentrated festive buying make it the strongest Diwali alpha generator.</w:t>
      </w:r>
    </w:p>
    <w:p w:rsidR="00BF5A02" w:rsidRDefault="002F3175">
      <w:pPr>
        <w:pStyle w:val="ListParagraph"/>
        <w:numPr>
          <w:ilvl w:val="0"/>
          <w:numId w:val="2"/>
        </w:numPr>
        <w:spacing w:before="50" w:after="50"/>
      </w:pPr>
      <w:r>
        <w:t>M&amp;M shows the most consistent alpha — positive in 11 of 12 years Pre-Diwali, significant Post-Diwali alpha of +4.02%. New SUV launches around Diwali cr</w:t>
      </w:r>
      <w:r>
        <w:t>eate multi-window price catalysts.</w:t>
      </w:r>
    </w:p>
    <w:p w:rsidR="00BF5A02" w:rsidRDefault="002F3175">
      <w:pPr>
        <w:pStyle w:val="ListParagraph"/>
        <w:numPr>
          <w:ilvl w:val="0"/>
          <w:numId w:val="2"/>
        </w:numPr>
        <w:spacing w:before="50" w:after="50"/>
      </w:pPr>
      <w:r>
        <w:t>Even Hero MotoCorp — the most conservative — shows +1.89% Post-30d alpha. Rural two-wheeler demand from kharif harvest cash flows sustains the return beyond the event date.</w:t>
      </w:r>
    </w:p>
    <w:p w:rsidR="00BF5A02" w:rsidRDefault="00BF5A02">
      <w:pPr>
        <w:spacing w:before="100" w:after="100"/>
      </w:pPr>
    </w:p>
    <w:p w:rsidR="00BF5A02" w:rsidRDefault="002F3175">
      <w:pPr>
        <w:pStyle w:val="Heading2"/>
      </w:pPr>
      <w:r>
        <w:t>4.1  Maruti Suzuki  (Four Wheeler)</w:t>
      </w:r>
    </w:p>
    <w:p w:rsidR="00BF5A02" w:rsidRDefault="002F3175">
      <w:pPr>
        <w:spacing w:before="60" w:after="80"/>
      </w:pPr>
      <w:r>
        <w:t>Pre-Diwali A</w:t>
      </w:r>
      <w:r>
        <w:t xml:space="preserve">lpha: </w:t>
      </w:r>
      <w:r>
        <w:rPr>
          <w:b/>
          <w:bCs/>
          <w:color w:val="1A6B3A"/>
        </w:rPr>
        <w:t>+2.67%</w:t>
      </w:r>
      <w:r>
        <w:t xml:space="preserve">  |  t-stat: 3.401  |  p-value: 0.006  |  Post-30d alpha: </w:t>
      </w:r>
      <w:r>
        <w:rPr>
          <w:b/>
          <w:bCs/>
          <w:color w:val="1A6B3A"/>
        </w:rPr>
        <w:t>+2.40%</w:t>
      </w:r>
      <w:r>
        <w:rPr>
          <w:color w:val="444444"/>
        </w:rPr>
        <w:t xml:space="preserve"> (SIG)  |  Pos alpha years: 10/12</w:t>
      </w:r>
    </w:p>
    <w:tbl>
      <w:tblPr>
        <w:tblW w:w="7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5"/>
        <w:gridCol w:w="1088"/>
        <w:gridCol w:w="1088"/>
        <w:gridCol w:w="1174"/>
        <w:gridCol w:w="1300"/>
        <w:gridCol w:w="1645"/>
      </w:tblGrid>
      <w:tr w:rsidR="00BF5A02">
        <w:tblPrEx>
          <w:tblCellMar>
            <w:top w:w="0" w:type="dxa"/>
            <w:bottom w:w="0" w:type="dxa"/>
          </w:tblCellMar>
        </w:tblPrEx>
        <w:trPr>
          <w:tblHeader/>
        </w:trPr>
        <w:tc>
          <w:tcPr>
            <w:tcW w:w="82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Year</w:t>
            </w:r>
          </w:p>
        </w:tc>
        <w:tc>
          <w:tcPr>
            <w:tcW w:w="11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Stock Pre%</w:t>
            </w:r>
          </w:p>
        </w:tc>
        <w:tc>
          <w:tcPr>
            <w:tcW w:w="11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Nifty Pre%</w:t>
            </w:r>
          </w:p>
        </w:tc>
        <w:tc>
          <w:tcPr>
            <w:tcW w:w="12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Alpha Pre%</w:t>
            </w:r>
          </w:p>
        </w:tc>
        <w:tc>
          <w:tcPr>
            <w:tcW w:w="12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Outperform?</w:t>
            </w:r>
          </w:p>
        </w:tc>
        <w:tc>
          <w:tcPr>
            <w:tcW w:w="168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r>
              <w:rPr>
                <w:b/>
                <w:bCs/>
                <w:color w:val="FFFFFF"/>
                <w:sz w:val="18"/>
                <w:szCs w:val="18"/>
              </w:rPr>
              <w:t>Key driver</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2014</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+8.20%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+4.20%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+4.00%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Election euphoria; consumer boom</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2015</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+5.10%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+2.80%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+2.30%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Stable rates; rural demand</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2016</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+4.80%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+3.10%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+1.70%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Pre-demonetisation buying surge</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lastRenderedPageBreak/>
              <w:t>2017</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+3.20%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+3.80%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8B0000"/>
                <w:sz w:val="18"/>
                <w:szCs w:val="18"/>
              </w:rPr>
              <w:t>-0.60%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8B0000"/>
                <w:sz w:val="18"/>
                <w:szCs w:val="18"/>
              </w:rPr>
              <w:t>No</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GST disruption — demand soft</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2018</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-6.40%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-3.20%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8B0000"/>
                <w:sz w:val="18"/>
                <w:szCs w:val="18"/>
              </w:rPr>
              <w:t>-3.20%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8B0000"/>
                <w:sz w:val="18"/>
                <w:szCs w:val="18"/>
              </w:rPr>
              <w:t>No</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IL&amp;FS / high crude — negative</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2019</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+6.80%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+5.60%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+1.20%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Auto worst slowdown in 20 yrs</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2020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+22.10%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+15.40%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+6.70%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COVID pent-up; massive surge</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2021</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+9.40%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+4.80%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+4.60%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Chip shortage; demand &gt; supply</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2022</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+6.80%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+2.10%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+4.70%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Strong festive; SUV premiumisation</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2023</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+11.20%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+5.90%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+5.30%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Record festive; EV narrative</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2024</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+6.40%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+3.80%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+2.60%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Healthy volumes; EV competition</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2025</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+5.80%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+3.10%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+2.70%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New launches; premiumisation</w:t>
            </w:r>
          </w:p>
        </w:tc>
      </w:tr>
    </w:tbl>
    <w:p w:rsidR="00BF5A02" w:rsidRDefault="00BF5A02">
      <w:pPr>
        <w:spacing w:before="100" w:after="100"/>
      </w:pPr>
    </w:p>
    <w:p w:rsidR="00BF5A02" w:rsidRDefault="00BF5A02">
      <w:pPr>
        <w:spacing w:before="100" w:after="100"/>
      </w:pPr>
    </w:p>
    <w:p w:rsidR="00BF5A02" w:rsidRDefault="002F3175">
      <w:pPr>
        <w:pStyle w:val="Heading2"/>
      </w:pPr>
      <w:r>
        <w:t>4.2  Tata Motors  (Four Wheeler)</w:t>
      </w:r>
    </w:p>
    <w:p w:rsidR="00BF5A02" w:rsidRDefault="002F3175">
      <w:pPr>
        <w:spacing w:before="60" w:after="80"/>
      </w:pPr>
      <w:r>
        <w:t xml:space="preserve">Pre-Diwali Alpha: </w:t>
      </w:r>
      <w:r>
        <w:rPr>
          <w:b/>
          <w:bCs/>
          <w:color w:val="1A6B3A"/>
        </w:rPr>
        <w:t>+4.92%</w:t>
      </w:r>
      <w:r>
        <w:t xml:space="preserve">  |  t-stat: 3.558  |  p-value: 0.004  |  Post-30d alpha: </w:t>
      </w:r>
      <w:r>
        <w:rPr>
          <w:b/>
          <w:bCs/>
          <w:color w:val="1A6B3A"/>
        </w:rPr>
        <w:t>+3.33%</w:t>
      </w:r>
      <w:r>
        <w:rPr>
          <w:color w:val="444444"/>
        </w:rPr>
        <w:t xml:space="preserve"> (SIG)  |  Pos alpha years: 11/12</w:t>
      </w:r>
    </w:p>
    <w:tbl>
      <w:tblPr>
        <w:tblW w:w="7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4"/>
        <w:gridCol w:w="1087"/>
        <w:gridCol w:w="1087"/>
        <w:gridCol w:w="1180"/>
        <w:gridCol w:w="1300"/>
        <w:gridCol w:w="1642"/>
      </w:tblGrid>
      <w:tr w:rsidR="00BF5A02">
        <w:tblPrEx>
          <w:tblCellMar>
            <w:top w:w="0" w:type="dxa"/>
            <w:bottom w:w="0" w:type="dxa"/>
          </w:tblCellMar>
        </w:tblPrEx>
        <w:trPr>
          <w:tblHeader/>
        </w:trPr>
        <w:tc>
          <w:tcPr>
            <w:tcW w:w="82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Year</w:t>
            </w:r>
          </w:p>
        </w:tc>
        <w:tc>
          <w:tcPr>
            <w:tcW w:w="11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Stock Pre%</w:t>
            </w:r>
          </w:p>
        </w:tc>
        <w:tc>
          <w:tcPr>
            <w:tcW w:w="11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Nifty Pre%</w:t>
            </w:r>
          </w:p>
        </w:tc>
        <w:tc>
          <w:tcPr>
            <w:tcW w:w="12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Alpha Pre%</w:t>
            </w:r>
          </w:p>
        </w:tc>
        <w:tc>
          <w:tcPr>
            <w:tcW w:w="12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Outperform?</w:t>
            </w:r>
          </w:p>
        </w:tc>
        <w:tc>
          <w:tcPr>
            <w:tcW w:w="168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r>
              <w:rPr>
                <w:b/>
                <w:bCs/>
                <w:color w:val="FFFFFF"/>
                <w:sz w:val="18"/>
                <w:szCs w:val="18"/>
              </w:rPr>
              <w:t>Key driver</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2014</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+12.40%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+4.20%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+8.20%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Election euphoria; consumer boom</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2015</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+6.80%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+2.80%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+4.00%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Stable rates; rural demand</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2016</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+5.20%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+3.10%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+2.10%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Pre-demonetisation buying surge</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2017</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+4.10%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+3.80%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+0.30%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GST disruption — demand soft</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2018</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-8.20%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-3.20%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8B0000"/>
                <w:sz w:val="18"/>
                <w:szCs w:val="18"/>
              </w:rPr>
              <w:t>-5.00%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8B0000"/>
                <w:sz w:val="18"/>
                <w:szCs w:val="18"/>
              </w:rPr>
              <w:t>No</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IL&amp;FS / high crude — negative</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2019</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+9.60%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+5.60%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+4.00%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Auto worst slowdown in 20 yrs</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2020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+28.40%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+15.40%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+13.00%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COVID pent-up; massive surge</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lastRenderedPageBreak/>
              <w:t>2021</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+14.20%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+4.80%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+9.40%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Chip shortage; demand &gt; supply</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2022</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+9.60%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+2.10%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+7.50%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Strong festive; SUV premiumisation</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2023</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+14.80%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+5.90%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+8.90%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Record festive; EV narrative</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2024</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+7.20%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+3.80%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+3.40%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Healthy volumes; EV competition</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2025</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+6.40%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+3.10%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+3.30%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New launches; premiumisation</w:t>
            </w:r>
          </w:p>
        </w:tc>
      </w:tr>
    </w:tbl>
    <w:p w:rsidR="00BF5A02" w:rsidRDefault="00BF5A02">
      <w:pPr>
        <w:spacing w:before="100" w:after="100"/>
      </w:pPr>
    </w:p>
    <w:p w:rsidR="00BF5A02" w:rsidRDefault="00BF5A02">
      <w:pPr>
        <w:spacing w:before="100" w:after="100"/>
      </w:pPr>
    </w:p>
    <w:p w:rsidR="00BF5A02" w:rsidRDefault="002F3175">
      <w:pPr>
        <w:pStyle w:val="Heading2"/>
      </w:pPr>
      <w:r>
        <w:t>4.3  M&amp;M  (Four Wheeler)</w:t>
      </w:r>
    </w:p>
    <w:p w:rsidR="00BF5A02" w:rsidRDefault="002F3175">
      <w:pPr>
        <w:spacing w:before="60" w:after="80"/>
      </w:pPr>
      <w:r>
        <w:t xml:space="preserve">Pre-Diwali Alpha: </w:t>
      </w:r>
      <w:r>
        <w:rPr>
          <w:b/>
          <w:bCs/>
          <w:color w:val="1A6B3A"/>
        </w:rPr>
        <w:t>+5.38%</w:t>
      </w:r>
      <w:r>
        <w:t xml:space="preserve">  |  t-stat: 4.029  |  p-value: 0.002  |  Post-30d alpha: </w:t>
      </w:r>
      <w:r>
        <w:rPr>
          <w:b/>
          <w:bCs/>
          <w:color w:val="1A6B3A"/>
        </w:rPr>
        <w:t>+4.02%</w:t>
      </w:r>
      <w:r>
        <w:rPr>
          <w:color w:val="444444"/>
        </w:rPr>
        <w:t xml:space="preserve"> (SIG)  |  Pos alpha years: 11/12</w:t>
      </w:r>
    </w:p>
    <w:tbl>
      <w:tblPr>
        <w:tblW w:w="7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4"/>
        <w:gridCol w:w="1087"/>
        <w:gridCol w:w="1087"/>
        <w:gridCol w:w="1180"/>
        <w:gridCol w:w="1300"/>
        <w:gridCol w:w="1642"/>
      </w:tblGrid>
      <w:tr w:rsidR="00BF5A02">
        <w:tblPrEx>
          <w:tblCellMar>
            <w:top w:w="0" w:type="dxa"/>
            <w:bottom w:w="0" w:type="dxa"/>
          </w:tblCellMar>
        </w:tblPrEx>
        <w:trPr>
          <w:tblHeader/>
        </w:trPr>
        <w:tc>
          <w:tcPr>
            <w:tcW w:w="82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Year</w:t>
            </w:r>
          </w:p>
        </w:tc>
        <w:tc>
          <w:tcPr>
            <w:tcW w:w="11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Stock Pre%</w:t>
            </w:r>
          </w:p>
        </w:tc>
        <w:tc>
          <w:tcPr>
            <w:tcW w:w="11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Nifty Pre%</w:t>
            </w:r>
          </w:p>
        </w:tc>
        <w:tc>
          <w:tcPr>
            <w:tcW w:w="12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Alpha Pre%</w:t>
            </w:r>
          </w:p>
        </w:tc>
        <w:tc>
          <w:tcPr>
            <w:tcW w:w="12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Outperform?</w:t>
            </w:r>
          </w:p>
        </w:tc>
        <w:tc>
          <w:tcPr>
            <w:tcW w:w="168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r>
              <w:rPr>
                <w:b/>
                <w:bCs/>
                <w:color w:val="FFFFFF"/>
                <w:sz w:val="18"/>
                <w:szCs w:val="18"/>
              </w:rPr>
              <w:t>Key driver</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2014</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+9.60%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+4.20%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+5.40%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Election euphoria; consumer boom</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2015</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+5.80%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+2.80%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+3.00%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Stable rates; rural demand</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2016</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+5.10%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+3.10%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+2.00%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Pre-demonetisation buying surge</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2017</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+4.40%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+3.80%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+0.60%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GST disruption — demand soft</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2018</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-5.20%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-3.20%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8B0000"/>
                <w:sz w:val="18"/>
                <w:szCs w:val="18"/>
              </w:rPr>
              <w:t>-2.00%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8B0000"/>
                <w:sz w:val="18"/>
                <w:szCs w:val="18"/>
              </w:rPr>
              <w:t>No</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IL&amp;FS / high crude — negative</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2019</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+8.20%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+5.60%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+2.60%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Auto worst slowdown in 20 yrs</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2020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+24.60%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+15.40%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+9.20%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COVID pent-up; massive surge</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2021</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+16.40%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+4.80%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+11.60%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Chip shortage; demand &gt; supply</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2022</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+12.40%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+2.10%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+10.30%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Strong festive; SUV premiumisation</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2023</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+18.60%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+5.90%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+12.70%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Record festive; EV narrative</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2024</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+8.80%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+3.80%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+5.00%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Healthy volumes; EV competition</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lastRenderedPageBreak/>
              <w:t>2025</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+7.20%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+3.10%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+4.10%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New launches; premiumisation</w:t>
            </w:r>
          </w:p>
        </w:tc>
      </w:tr>
    </w:tbl>
    <w:p w:rsidR="00BF5A02" w:rsidRDefault="00BF5A02">
      <w:pPr>
        <w:spacing w:before="100" w:after="100"/>
      </w:pPr>
    </w:p>
    <w:p w:rsidR="00BF5A02" w:rsidRDefault="00BF5A02">
      <w:pPr>
        <w:spacing w:before="100" w:after="100"/>
      </w:pPr>
    </w:p>
    <w:p w:rsidR="00BF5A02" w:rsidRDefault="002F3175">
      <w:pPr>
        <w:pStyle w:val="Heading2"/>
      </w:pPr>
      <w:r>
        <w:t>4.4  Ashok Leyland  (Commercial)</w:t>
      </w:r>
    </w:p>
    <w:p w:rsidR="00BF5A02" w:rsidRDefault="002F3175">
      <w:pPr>
        <w:spacing w:before="60" w:after="80"/>
      </w:pPr>
      <w:r>
        <w:t xml:space="preserve">Pre-Diwali Alpha: </w:t>
      </w:r>
      <w:r>
        <w:rPr>
          <w:b/>
          <w:bCs/>
          <w:color w:val="1A6B3A"/>
        </w:rPr>
        <w:t>+3.70%</w:t>
      </w:r>
      <w:r>
        <w:t xml:space="preserve">  |  t-stat: 2.855  |  p-value: 0.016  |  Post-30d alpha: </w:t>
      </w:r>
      <w:r>
        <w:rPr>
          <w:b/>
          <w:bCs/>
          <w:color w:val="1A6B3A"/>
        </w:rPr>
        <w:t>+2.94%</w:t>
      </w:r>
      <w:r>
        <w:rPr>
          <w:color w:val="444444"/>
        </w:rPr>
        <w:t xml:space="preserve"> (SIG)  |  Pos alpha years: 11/12</w:t>
      </w:r>
    </w:p>
    <w:tbl>
      <w:tblPr>
        <w:tblW w:w="7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4"/>
        <w:gridCol w:w="1087"/>
        <w:gridCol w:w="1087"/>
        <w:gridCol w:w="1180"/>
        <w:gridCol w:w="1300"/>
        <w:gridCol w:w="1642"/>
      </w:tblGrid>
      <w:tr w:rsidR="00BF5A02">
        <w:tblPrEx>
          <w:tblCellMar>
            <w:top w:w="0" w:type="dxa"/>
            <w:bottom w:w="0" w:type="dxa"/>
          </w:tblCellMar>
        </w:tblPrEx>
        <w:trPr>
          <w:tblHeader/>
        </w:trPr>
        <w:tc>
          <w:tcPr>
            <w:tcW w:w="82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Year</w:t>
            </w:r>
          </w:p>
        </w:tc>
        <w:tc>
          <w:tcPr>
            <w:tcW w:w="11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Stock Pre%</w:t>
            </w:r>
          </w:p>
        </w:tc>
        <w:tc>
          <w:tcPr>
            <w:tcW w:w="11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Nifty Pre%</w:t>
            </w:r>
          </w:p>
        </w:tc>
        <w:tc>
          <w:tcPr>
            <w:tcW w:w="12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Alpha Pre%</w:t>
            </w:r>
          </w:p>
        </w:tc>
        <w:tc>
          <w:tcPr>
            <w:tcW w:w="12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Outperform?</w:t>
            </w:r>
          </w:p>
        </w:tc>
        <w:tc>
          <w:tcPr>
            <w:tcW w:w="168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r>
              <w:rPr>
                <w:b/>
                <w:bCs/>
                <w:color w:val="FFFFFF"/>
                <w:sz w:val="18"/>
                <w:szCs w:val="18"/>
              </w:rPr>
              <w:t>Key driver</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2014</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+14.20%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+4.20%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+10.00%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Election euphoria; consumer boom</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2015</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+7.60%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+2.80%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+4.80%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Stable rates; rural demand</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2016</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+6.40%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+3.10%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+3.30%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Pre-demonetisation buying surge</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2017</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+5.20%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+3.80%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+1.40%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GST disruption — demand soft</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2018</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-9.80%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-3.20%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8B0000"/>
                <w:sz w:val="18"/>
                <w:szCs w:val="18"/>
              </w:rPr>
              <w:t>-6.60%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8B0000"/>
                <w:sz w:val="18"/>
                <w:szCs w:val="18"/>
              </w:rPr>
              <w:t>No</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IL&amp;FS / high crude — negative</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2019</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+10.40%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+5.60%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+4.80%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Auto worst slowdown in 20 yrs</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2020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+26.80%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+15.40%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+11.40%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COVID pent-up; massive surge</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2021</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+8.20%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+4.80%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+3.40%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Chip shortage; demand &gt; supply</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2022</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+5.80%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+2.10%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+3.70%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Strong festive; SUV premiumisation</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2023</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+10.60%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+5.90%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+4.70%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Record festive; EV narrative</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2024</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+5.60%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+3.80%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+1.80%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Healthy volumes; EV competition</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2025</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+4.80%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+3.10%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+1.70%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New launches; premiumisation</w:t>
            </w:r>
          </w:p>
        </w:tc>
      </w:tr>
    </w:tbl>
    <w:p w:rsidR="00BF5A02" w:rsidRDefault="00BF5A02">
      <w:pPr>
        <w:spacing w:before="100" w:after="100"/>
      </w:pPr>
    </w:p>
    <w:p w:rsidR="00BF5A02" w:rsidRDefault="00BF5A02">
      <w:pPr>
        <w:spacing w:before="100" w:after="100"/>
      </w:pPr>
    </w:p>
    <w:p w:rsidR="00BF5A02" w:rsidRDefault="002F3175">
      <w:pPr>
        <w:pStyle w:val="Heading2"/>
      </w:pPr>
      <w:r>
        <w:t>4.5  Eicher Motors  (Two Wheeler)</w:t>
      </w:r>
    </w:p>
    <w:p w:rsidR="00BF5A02" w:rsidRDefault="002F3175">
      <w:pPr>
        <w:spacing w:before="60" w:after="80"/>
      </w:pPr>
      <w:r>
        <w:lastRenderedPageBreak/>
        <w:t xml:space="preserve">Pre-Diwali Alpha: </w:t>
      </w:r>
      <w:r>
        <w:rPr>
          <w:b/>
          <w:bCs/>
          <w:color w:val="1A6B3A"/>
        </w:rPr>
        <w:t>+5.52%</w:t>
      </w:r>
      <w:r>
        <w:t xml:space="preserve">  |  t-stat: 4.934  |  p-value: 0.000  |  Post-30d alpha: </w:t>
      </w:r>
      <w:r>
        <w:rPr>
          <w:b/>
          <w:bCs/>
          <w:color w:val="1A6B3A"/>
        </w:rPr>
        <w:t>+4.14%</w:t>
      </w:r>
      <w:r>
        <w:rPr>
          <w:color w:val="444444"/>
        </w:rPr>
        <w:t xml:space="preserve"> (SIG)  |  Pos alpha years: 11/12</w:t>
      </w:r>
    </w:p>
    <w:tbl>
      <w:tblPr>
        <w:tblW w:w="7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4"/>
        <w:gridCol w:w="1087"/>
        <w:gridCol w:w="1087"/>
        <w:gridCol w:w="1180"/>
        <w:gridCol w:w="1300"/>
        <w:gridCol w:w="1642"/>
      </w:tblGrid>
      <w:tr w:rsidR="00BF5A02">
        <w:tblPrEx>
          <w:tblCellMar>
            <w:top w:w="0" w:type="dxa"/>
            <w:bottom w:w="0" w:type="dxa"/>
          </w:tblCellMar>
        </w:tblPrEx>
        <w:trPr>
          <w:tblHeader/>
        </w:trPr>
        <w:tc>
          <w:tcPr>
            <w:tcW w:w="82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Year</w:t>
            </w:r>
          </w:p>
        </w:tc>
        <w:tc>
          <w:tcPr>
            <w:tcW w:w="11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Stock Pre%</w:t>
            </w:r>
          </w:p>
        </w:tc>
        <w:tc>
          <w:tcPr>
            <w:tcW w:w="11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Nifty Pre%</w:t>
            </w:r>
          </w:p>
        </w:tc>
        <w:tc>
          <w:tcPr>
            <w:tcW w:w="12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Alpha Pre%</w:t>
            </w:r>
          </w:p>
        </w:tc>
        <w:tc>
          <w:tcPr>
            <w:tcW w:w="12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Outperform?</w:t>
            </w:r>
          </w:p>
        </w:tc>
        <w:tc>
          <w:tcPr>
            <w:tcW w:w="168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r>
              <w:rPr>
                <w:b/>
                <w:bCs/>
                <w:color w:val="FFFFFF"/>
                <w:sz w:val="18"/>
                <w:szCs w:val="18"/>
              </w:rPr>
              <w:t>Key driver</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2014</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+18.60%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+4.20%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+14.40%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Election euphoria; consumer boom</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2015</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+12.40%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+2.80%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+9.60%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Stable rates; rural demand</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2016</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+9.80%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+3.10%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+6.70%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Pre-demonetisation buying surge</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2017</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+6.20%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+3.80%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+2.40%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GST disruption — demand soft</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2018</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-4.20%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-3.20%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8B0000"/>
                <w:sz w:val="18"/>
                <w:szCs w:val="18"/>
              </w:rPr>
              <w:t>-1.00%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8B0000"/>
                <w:sz w:val="18"/>
                <w:szCs w:val="18"/>
              </w:rPr>
              <w:t>No</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IL&amp;FS / high crude — negative</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2019</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+8.80%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+5.60%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+3.20%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Auto worst slowdown in 20 yrs</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2020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+20.40%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+15.40%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+5.00%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COVID pent-up; massive surge</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2021</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+10.60%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+4.80%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+5.80%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Chip shortage; demand &gt; supply</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2022</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+8.20%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+2.10%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+6.10%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Strong festive; SUV premiumisation</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2023</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+12.80%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+5.90%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+6.90%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Record festive; EV narrative</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2024</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+7.60%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+3.80%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+3.80%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Healthy volumes; EV competition</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2025</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+6.40%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+3.10%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+3.30%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New launches; premiumisation</w:t>
            </w:r>
          </w:p>
        </w:tc>
      </w:tr>
    </w:tbl>
    <w:p w:rsidR="00BF5A02" w:rsidRDefault="00BF5A02">
      <w:pPr>
        <w:spacing w:before="100" w:after="100"/>
      </w:pPr>
    </w:p>
    <w:p w:rsidR="00BF5A02" w:rsidRDefault="00BF5A02">
      <w:pPr>
        <w:spacing w:before="100" w:after="100"/>
      </w:pPr>
    </w:p>
    <w:p w:rsidR="00BF5A02" w:rsidRDefault="002F3175">
      <w:pPr>
        <w:pStyle w:val="Heading2"/>
      </w:pPr>
      <w:r>
        <w:t>4.6  Hero MotoCorp  (Two Wheeler)</w:t>
      </w:r>
    </w:p>
    <w:p w:rsidR="00BF5A02" w:rsidRDefault="002F3175">
      <w:pPr>
        <w:spacing w:before="60" w:after="80"/>
      </w:pPr>
      <w:r>
        <w:t xml:space="preserve">Pre-Diwali Alpha: </w:t>
      </w:r>
      <w:r>
        <w:rPr>
          <w:b/>
          <w:bCs/>
          <w:color w:val="1A6B3A"/>
        </w:rPr>
        <w:t>+1.53%</w:t>
      </w:r>
      <w:r>
        <w:t xml:space="preserve">  |  t-stat: 3.103  |  p-value: 0.010  |  Post-30d alpha: </w:t>
      </w:r>
      <w:r>
        <w:rPr>
          <w:b/>
          <w:bCs/>
          <w:color w:val="1A6B3A"/>
        </w:rPr>
        <w:t>+1.89%</w:t>
      </w:r>
      <w:r>
        <w:rPr>
          <w:color w:val="444444"/>
        </w:rPr>
        <w:t xml:space="preserve"> (SIG)  |  Pos alpha years: 10/12</w:t>
      </w:r>
    </w:p>
    <w:tbl>
      <w:tblPr>
        <w:tblW w:w="7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5"/>
        <w:gridCol w:w="1088"/>
        <w:gridCol w:w="1088"/>
        <w:gridCol w:w="1174"/>
        <w:gridCol w:w="1300"/>
        <w:gridCol w:w="1645"/>
      </w:tblGrid>
      <w:tr w:rsidR="00BF5A02">
        <w:tblPrEx>
          <w:tblCellMar>
            <w:top w:w="0" w:type="dxa"/>
            <w:bottom w:w="0" w:type="dxa"/>
          </w:tblCellMar>
        </w:tblPrEx>
        <w:trPr>
          <w:tblHeader/>
        </w:trPr>
        <w:tc>
          <w:tcPr>
            <w:tcW w:w="82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Year</w:t>
            </w:r>
          </w:p>
        </w:tc>
        <w:tc>
          <w:tcPr>
            <w:tcW w:w="11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Stock Pre%</w:t>
            </w:r>
          </w:p>
        </w:tc>
        <w:tc>
          <w:tcPr>
            <w:tcW w:w="11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Nifty Pre%</w:t>
            </w:r>
          </w:p>
        </w:tc>
        <w:tc>
          <w:tcPr>
            <w:tcW w:w="12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Alpha Pre%</w:t>
            </w:r>
          </w:p>
        </w:tc>
        <w:tc>
          <w:tcPr>
            <w:tcW w:w="12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Outperform?</w:t>
            </w:r>
          </w:p>
        </w:tc>
        <w:tc>
          <w:tcPr>
            <w:tcW w:w="168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r>
              <w:rPr>
                <w:b/>
                <w:bCs/>
                <w:color w:val="FFFFFF"/>
                <w:sz w:val="18"/>
                <w:szCs w:val="18"/>
              </w:rPr>
              <w:t>Key driver</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2014</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+7.20%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+4.20%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+3.00%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Election euphoria; consumer boom</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2015</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+4.60%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+2.80%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+1.80%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Stable rates; rural demand</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2016</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+4.20%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+3.10%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+1.10%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Pre-demonetisation buying surge</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lastRenderedPageBreak/>
              <w:t>2017</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+3.40%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+3.80%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8B0000"/>
                <w:sz w:val="18"/>
                <w:szCs w:val="18"/>
              </w:rPr>
              <w:t>-0.40%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8B0000"/>
                <w:sz w:val="18"/>
                <w:szCs w:val="18"/>
              </w:rPr>
              <w:t>No</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GST disruption — demand soft</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2018</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-5.80%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-3.20%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8B0000"/>
                <w:sz w:val="18"/>
                <w:szCs w:val="18"/>
              </w:rPr>
              <w:t>-2.60%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8B0000"/>
                <w:sz w:val="18"/>
                <w:szCs w:val="18"/>
              </w:rPr>
              <w:t>No</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IL&amp;FS / high crude — negative</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2019</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+6.20%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+5.60%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+0.60%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Auto worst slowdown in 20 yrs</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2020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+18.40%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+15.40%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+3.00%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COVID pent-up; massive surge</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2021</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+7.80%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+4.80%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+3.00%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Chip shortage; demand &gt; supply</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2022</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+5.20%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+2.10%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+3.10%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Strong festive; SUV premiumisation</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2023</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+8.60%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+5.90%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+2.70%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Record festive; EV narrative</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2024</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+5.40%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+3.80%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+1.60%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Healthy volumes; EV competition</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2025</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+4.60%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+3.10%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+1.50%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New launches; premiumisation</w:t>
            </w:r>
          </w:p>
        </w:tc>
      </w:tr>
    </w:tbl>
    <w:p w:rsidR="00BF5A02" w:rsidRDefault="00BF5A02">
      <w:pPr>
        <w:spacing w:before="100" w:after="100"/>
      </w:pPr>
    </w:p>
    <w:p w:rsidR="00BF5A02" w:rsidRDefault="00BF5A02">
      <w:pPr>
        <w:spacing w:before="100" w:after="100"/>
      </w:pPr>
    </w:p>
    <w:p w:rsidR="00BF5A02" w:rsidRDefault="002F3175">
      <w:pPr>
        <w:pStyle w:val="Heading2"/>
      </w:pPr>
      <w:r>
        <w:t>4.7  Bajaj Auto  (Two Wheeler)</w:t>
      </w:r>
    </w:p>
    <w:p w:rsidR="00BF5A02" w:rsidRDefault="002F3175">
      <w:pPr>
        <w:spacing w:before="60" w:after="80"/>
      </w:pPr>
      <w:r>
        <w:t xml:space="preserve">Pre-Diwali Alpha: </w:t>
      </w:r>
      <w:r>
        <w:rPr>
          <w:b/>
          <w:bCs/>
          <w:color w:val="1A6B3A"/>
        </w:rPr>
        <w:t>+3.13%</w:t>
      </w:r>
      <w:r>
        <w:t xml:space="preserve">  |  t-stat: 5.129  |  p-value: 0.000  |  Post-30d alpha: </w:t>
      </w:r>
      <w:r>
        <w:rPr>
          <w:b/>
          <w:bCs/>
          <w:color w:val="1A6B3A"/>
        </w:rPr>
        <w:t>+2.81%</w:t>
      </w:r>
      <w:r>
        <w:rPr>
          <w:color w:val="444444"/>
        </w:rPr>
        <w:t xml:space="preserve"> (SIG)  |  Pos alpha years: 11/12</w:t>
      </w:r>
    </w:p>
    <w:tbl>
      <w:tblPr>
        <w:tblW w:w="7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5"/>
        <w:gridCol w:w="1088"/>
        <w:gridCol w:w="1088"/>
        <w:gridCol w:w="1174"/>
        <w:gridCol w:w="1300"/>
        <w:gridCol w:w="1645"/>
      </w:tblGrid>
      <w:tr w:rsidR="00BF5A02">
        <w:tblPrEx>
          <w:tblCellMar>
            <w:top w:w="0" w:type="dxa"/>
            <w:bottom w:w="0" w:type="dxa"/>
          </w:tblCellMar>
        </w:tblPrEx>
        <w:trPr>
          <w:tblHeader/>
        </w:trPr>
        <w:tc>
          <w:tcPr>
            <w:tcW w:w="82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Year</w:t>
            </w:r>
          </w:p>
        </w:tc>
        <w:tc>
          <w:tcPr>
            <w:tcW w:w="11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Stock Pre%</w:t>
            </w:r>
          </w:p>
        </w:tc>
        <w:tc>
          <w:tcPr>
            <w:tcW w:w="11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Nifty Pre%</w:t>
            </w:r>
          </w:p>
        </w:tc>
        <w:tc>
          <w:tcPr>
            <w:tcW w:w="12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Alpha Pre%</w:t>
            </w:r>
          </w:p>
        </w:tc>
        <w:tc>
          <w:tcPr>
            <w:tcW w:w="12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Outperform?</w:t>
            </w:r>
          </w:p>
        </w:tc>
        <w:tc>
          <w:tcPr>
            <w:tcW w:w="168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r>
              <w:rPr>
                <w:b/>
                <w:bCs/>
                <w:color w:val="FFFFFF"/>
                <w:sz w:val="18"/>
                <w:szCs w:val="18"/>
              </w:rPr>
              <w:t>Key driver</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2014</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+9.40%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+4.20%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+5.20%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Election euphoria; consumer boom</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2015</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+6.20%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+2.80%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+3.40%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Stable rates; rural demand</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2016</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+5.60%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+3.10%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+2.50%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Pre-demonetisation buying surge</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2017</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+4.20%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+3.80%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+0.40%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GST disruption — demand soft</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2018</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-4.60%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-3.20%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8B0000"/>
                <w:sz w:val="18"/>
                <w:szCs w:val="18"/>
              </w:rPr>
              <w:t>-1.40%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8B0000"/>
                <w:sz w:val="18"/>
                <w:szCs w:val="18"/>
              </w:rPr>
              <w:t>No</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IL&amp;FS / high crude — negative</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2019</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+7.60%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+5.60%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+2.00%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Auto worst slowdown in 20 yrs</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2020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+20.80%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+15.40%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+5.40%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COVID pent-up; massive surge</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lastRenderedPageBreak/>
              <w:t>2021</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+9.20%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+4.80%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+4.40%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Chip shortage; demand &gt; supply</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2022</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+6.80%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+2.10%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+4.70%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Strong festive; SUV premiumisation</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2023</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+11.40%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+5.90%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+5.50%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Record festive; EV narrative</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2024</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+6.80%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+3.80%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+3.00%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Healthy volumes; EV competition</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2025</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+5.60%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+3.10%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+2.50%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New launches; premiumisation</w:t>
            </w:r>
          </w:p>
        </w:tc>
      </w:tr>
    </w:tbl>
    <w:p w:rsidR="00BF5A02" w:rsidRDefault="00BF5A02">
      <w:pPr>
        <w:spacing w:before="100" w:after="100"/>
      </w:pPr>
    </w:p>
    <w:p w:rsidR="00BF5A02" w:rsidRDefault="00BF5A02">
      <w:pPr>
        <w:spacing w:before="100" w:after="100"/>
      </w:pPr>
    </w:p>
    <w:p w:rsidR="00BF5A02" w:rsidRDefault="002F3175">
      <w:pPr>
        <w:pStyle w:val="Heading2"/>
      </w:pPr>
      <w:r>
        <w:t>4.8  TVS Motor  (Two Wheeler)</w:t>
      </w:r>
    </w:p>
    <w:p w:rsidR="00BF5A02" w:rsidRDefault="002F3175">
      <w:pPr>
        <w:spacing w:before="60" w:after="80"/>
      </w:pPr>
      <w:r>
        <w:t xml:space="preserve">Pre-Diwali Alpha: </w:t>
      </w:r>
      <w:r>
        <w:rPr>
          <w:b/>
          <w:bCs/>
          <w:color w:val="1A6B3A"/>
        </w:rPr>
        <w:t>+4.63%</w:t>
      </w:r>
      <w:r>
        <w:t xml:space="preserve">  |  t-stat: 4.968  |  p-value: 0.000  |  Post-30d alpha: </w:t>
      </w:r>
      <w:r>
        <w:rPr>
          <w:b/>
          <w:bCs/>
          <w:color w:val="1A6B3A"/>
        </w:rPr>
        <w:t>+3.54%</w:t>
      </w:r>
      <w:r>
        <w:rPr>
          <w:color w:val="444444"/>
        </w:rPr>
        <w:t xml:space="preserve"> (SIG)  |  Pos alpha years: 11/12</w:t>
      </w:r>
    </w:p>
    <w:tbl>
      <w:tblPr>
        <w:tblW w:w="7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5"/>
        <w:gridCol w:w="1088"/>
        <w:gridCol w:w="1088"/>
        <w:gridCol w:w="1174"/>
        <w:gridCol w:w="1300"/>
        <w:gridCol w:w="1645"/>
      </w:tblGrid>
      <w:tr w:rsidR="00BF5A02">
        <w:tblPrEx>
          <w:tblCellMar>
            <w:top w:w="0" w:type="dxa"/>
            <w:bottom w:w="0" w:type="dxa"/>
          </w:tblCellMar>
        </w:tblPrEx>
        <w:trPr>
          <w:tblHeader/>
        </w:trPr>
        <w:tc>
          <w:tcPr>
            <w:tcW w:w="82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Year</w:t>
            </w:r>
          </w:p>
        </w:tc>
        <w:tc>
          <w:tcPr>
            <w:tcW w:w="11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Stock Pre%</w:t>
            </w:r>
          </w:p>
        </w:tc>
        <w:tc>
          <w:tcPr>
            <w:tcW w:w="11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Nifty Pre%</w:t>
            </w:r>
          </w:p>
        </w:tc>
        <w:tc>
          <w:tcPr>
            <w:tcW w:w="12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Alpha Pre%</w:t>
            </w:r>
          </w:p>
        </w:tc>
        <w:tc>
          <w:tcPr>
            <w:tcW w:w="12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Outperform?</w:t>
            </w:r>
          </w:p>
        </w:tc>
        <w:tc>
          <w:tcPr>
            <w:tcW w:w="168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r>
              <w:rPr>
                <w:b/>
                <w:bCs/>
                <w:color w:val="FFFFFF"/>
                <w:sz w:val="18"/>
                <w:szCs w:val="18"/>
              </w:rPr>
              <w:t>Key driver</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2014</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+11.20%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+4.20%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+7.00%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Election euphoria; consumer boom</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2015</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+7.40%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+2.80%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+4.60%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Stable rates; rural demand</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2016</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+6.40%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+3.10%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+3.30%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Pre-demonetisation buying surge</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2017</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+4.80%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+3.80%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+1.00%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GST disruption — demand soft</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2018</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-5.40%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-3.20%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8B0000"/>
                <w:sz w:val="18"/>
                <w:szCs w:val="18"/>
              </w:rPr>
              <w:t>-2.20%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8B0000"/>
                <w:sz w:val="18"/>
                <w:szCs w:val="18"/>
              </w:rPr>
              <w:t>No</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IL&amp;FS / high crude — negative</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2019</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+8.80%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+5.60%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+3.20%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Auto worst slowdown in 20 yrs</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2020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+24.60%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+15.40%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+9.20%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COVID pent-up; massive surge</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2021</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+12.40%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+4.80%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+7.60%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Chip shortage; demand &gt; supply</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2022</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+8.60%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+2.10%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+6.50%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Strong festive; SUV premiumisation</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t>2023</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+13.80%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+5.90%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+7.90%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Record festive; EV narrative</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222222"/>
                <w:sz w:val="18"/>
                <w:szCs w:val="18"/>
              </w:rPr>
              <w:t>2024</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+7.80%</w:t>
            </w:r>
          </w:p>
        </w:tc>
        <w:tc>
          <w:tcPr>
            <w:tcW w:w="11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+3.80%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+4.00%</w:t>
            </w:r>
          </w:p>
        </w:tc>
        <w:tc>
          <w:tcPr>
            <w:tcW w:w="12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555555"/>
                <w:sz w:val="14"/>
                <w:szCs w:val="14"/>
              </w:rPr>
              <w:t>Healthy volumes; EV competition</w:t>
            </w:r>
          </w:p>
        </w:tc>
      </w:tr>
      <w:tr w:rsidR="00BF5A02">
        <w:tblPrEx>
          <w:tblCellMar>
            <w:top w:w="0" w:type="dxa"/>
            <w:bottom w:w="0" w:type="dxa"/>
          </w:tblCellMar>
        </w:tblPrEx>
        <w:tc>
          <w:tcPr>
            <w:tcW w:w="82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222222"/>
                <w:sz w:val="18"/>
                <w:szCs w:val="18"/>
              </w:rPr>
              <w:lastRenderedPageBreak/>
              <w:t>2025</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+6.60%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+3.10%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+3.50%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Yes</w:t>
            </w:r>
          </w:p>
        </w:tc>
        <w:tc>
          <w:tcPr>
            <w:tcW w:w="16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555555"/>
                <w:sz w:val="14"/>
                <w:szCs w:val="14"/>
              </w:rPr>
              <w:t>New launches; premiumisation</w:t>
            </w:r>
          </w:p>
        </w:tc>
      </w:tr>
    </w:tbl>
    <w:p w:rsidR="00BF5A02" w:rsidRDefault="00BF5A02">
      <w:pPr>
        <w:spacing w:before="100" w:after="100"/>
      </w:pPr>
    </w:p>
    <w:p w:rsidR="00BF5A02" w:rsidRDefault="00BF5A02">
      <w:pPr>
        <w:spacing w:before="80" w:after="80"/>
      </w:pPr>
    </w:p>
    <w:p w:rsidR="00BF5A02" w:rsidRDefault="00BF5A02">
      <w:pPr>
        <w:pBdr>
          <w:bottom w:val="single" w:sz="4" w:space="1" w:color="2980B9"/>
        </w:pBdr>
        <w:spacing w:before="180" w:after="180"/>
      </w:pPr>
    </w:p>
    <w:p w:rsidR="00BF5A02" w:rsidRDefault="002F3175">
      <w:pPr>
        <w:pStyle w:val="Heading1"/>
      </w:pPr>
      <w:r>
        <w:t>5. Master Comparison — All Stocks vs Nifty</w:t>
      </w:r>
    </w:p>
    <w:p w:rsidR="00BF5A02" w:rsidRDefault="002F3175">
      <w:pPr>
        <w:spacing w:before="80" w:after="80"/>
      </w:pPr>
      <w:r>
        <w:rPr>
          <w:color w:val="222222"/>
        </w:rPr>
        <w:t>The complete side-by-side comparison of all 14 stocks against the Nifty 50 baseline across all four windows. This is the definitive alpha scorecard.</w:t>
      </w:r>
    </w:p>
    <w:p w:rsidR="00BF5A02" w:rsidRDefault="00BF5A02">
      <w:pPr>
        <w:spacing w:before="100" w:after="100"/>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91"/>
        <w:gridCol w:w="1111"/>
        <w:gridCol w:w="1078"/>
        <w:gridCol w:w="1077"/>
        <w:gridCol w:w="1077"/>
        <w:gridCol w:w="1077"/>
        <w:gridCol w:w="1077"/>
        <w:gridCol w:w="1472"/>
      </w:tblGrid>
      <w:tr w:rsidR="00BF5A02">
        <w:tblPrEx>
          <w:tblCellMar>
            <w:top w:w="0" w:type="dxa"/>
            <w:bottom w:w="0" w:type="dxa"/>
          </w:tblCellMar>
        </w:tblPrEx>
        <w:trPr>
          <w:tblHeader/>
        </w:trPr>
        <w:tc>
          <w:tcPr>
            <w:tcW w:w="160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r>
              <w:rPr>
                <w:b/>
                <w:bCs/>
                <w:color w:val="FFFFFF"/>
                <w:sz w:val="18"/>
                <w:szCs w:val="18"/>
              </w:rPr>
              <w:t>Stock</w:t>
            </w:r>
          </w:p>
        </w:tc>
        <w:tc>
          <w:tcPr>
            <w:tcW w:w="108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Sector</w:t>
            </w:r>
          </w:p>
        </w:tc>
        <w:tc>
          <w:tcPr>
            <w:tcW w:w="108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Pre-30d %</w:t>
            </w:r>
          </w:p>
        </w:tc>
        <w:tc>
          <w:tcPr>
            <w:tcW w:w="108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Alpha Pre</w:t>
            </w:r>
          </w:p>
        </w:tc>
        <w:tc>
          <w:tcPr>
            <w:tcW w:w="108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Alpha OnDay</w:t>
            </w:r>
          </w:p>
        </w:tc>
        <w:tc>
          <w:tcPr>
            <w:tcW w:w="108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Alpha Post-15</w:t>
            </w:r>
          </w:p>
        </w:tc>
        <w:tc>
          <w:tcPr>
            <w:tcW w:w="108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pPr>
              <w:jc w:val="center"/>
            </w:pPr>
            <w:r>
              <w:rPr>
                <w:b/>
                <w:bCs/>
                <w:color w:val="FFFFFF"/>
                <w:sz w:val="18"/>
                <w:szCs w:val="18"/>
              </w:rPr>
              <w:t>Alpha Post-30</w:t>
            </w:r>
          </w:p>
        </w:tc>
        <w:tc>
          <w:tcPr>
            <w:tcW w:w="1480" w:type="dxa"/>
            <w:tcBorders>
              <w:top w:val="single" w:sz="1" w:space="0" w:color="2C3E50"/>
              <w:left w:val="single" w:sz="1" w:space="0" w:color="2C3E50"/>
              <w:bottom w:val="single" w:sz="1" w:space="0" w:color="2C3E50"/>
              <w:right w:val="single" w:sz="1" w:space="0" w:color="2C3E50"/>
            </w:tcBorders>
            <w:shd w:val="clear" w:color="auto" w:fill="2C3E50"/>
            <w:tcMar>
              <w:top w:w="75" w:type="dxa"/>
              <w:left w:w="100" w:type="dxa"/>
              <w:bottom w:w="75" w:type="dxa"/>
              <w:right w:w="100" w:type="dxa"/>
            </w:tcMar>
          </w:tcPr>
          <w:p w:rsidR="00BF5A02" w:rsidRDefault="002F3175">
            <w:r>
              <w:rPr>
                <w:b/>
                <w:bCs/>
                <w:color w:val="FFFFFF"/>
                <w:sz w:val="18"/>
                <w:szCs w:val="18"/>
              </w:rPr>
              <w:t>Verdict</w:t>
            </w:r>
          </w:p>
        </w:tc>
      </w:tr>
      <w:tr w:rsidR="00BF5A02">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E8F5E9"/>
            <w:tcMar>
              <w:top w:w="75" w:type="dxa"/>
              <w:left w:w="100" w:type="dxa"/>
              <w:bottom w:w="75" w:type="dxa"/>
              <w:right w:w="100" w:type="dxa"/>
            </w:tcMar>
          </w:tcPr>
          <w:p w:rsidR="00BF5A02" w:rsidRDefault="002F3175">
            <w:r>
              <w:rPr>
                <w:b/>
                <w:bCs/>
                <w:color w:val="222222"/>
                <w:sz w:val="18"/>
                <w:szCs w:val="18"/>
              </w:rPr>
              <w:t>Nifty 50</w:t>
            </w:r>
          </w:p>
        </w:tc>
        <w:tc>
          <w:tcPr>
            <w:tcW w:w="1080" w:type="dxa"/>
            <w:tcBorders>
              <w:top w:val="single" w:sz="1" w:space="0" w:color="CCCCCC"/>
              <w:left w:val="single" w:sz="1" w:space="0" w:color="CCCCCC"/>
              <w:bottom w:val="single" w:sz="1" w:space="0" w:color="CCCCCC"/>
              <w:right w:val="single" w:sz="1" w:space="0" w:color="CCCCCC"/>
            </w:tcBorders>
            <w:shd w:val="clear" w:color="auto" w:fill="E8F5E9"/>
            <w:tcMar>
              <w:top w:w="75" w:type="dxa"/>
              <w:left w:w="100" w:type="dxa"/>
              <w:bottom w:w="75" w:type="dxa"/>
              <w:right w:w="100" w:type="dxa"/>
            </w:tcMar>
          </w:tcPr>
          <w:p w:rsidR="00BF5A02" w:rsidRDefault="002F3175">
            <w:pPr>
              <w:jc w:val="center"/>
            </w:pPr>
            <w:r>
              <w:rPr>
                <w:color w:val="222222"/>
                <w:sz w:val="18"/>
                <w:szCs w:val="18"/>
              </w:rPr>
              <w:t>Benchmark</w:t>
            </w:r>
          </w:p>
        </w:tc>
        <w:tc>
          <w:tcPr>
            <w:tcW w:w="1080" w:type="dxa"/>
            <w:tcBorders>
              <w:top w:val="single" w:sz="1" w:space="0" w:color="CCCCCC"/>
              <w:left w:val="single" w:sz="1" w:space="0" w:color="CCCCCC"/>
              <w:bottom w:val="single" w:sz="1" w:space="0" w:color="CCCCCC"/>
              <w:right w:val="single" w:sz="1" w:space="0" w:color="CCCCCC"/>
            </w:tcBorders>
            <w:shd w:val="clear" w:color="auto" w:fill="E8F5E9"/>
            <w:tcMar>
              <w:top w:w="75" w:type="dxa"/>
              <w:left w:w="100" w:type="dxa"/>
              <w:bottom w:w="75" w:type="dxa"/>
              <w:right w:w="100" w:type="dxa"/>
            </w:tcMar>
          </w:tcPr>
          <w:p w:rsidR="00BF5A02" w:rsidRDefault="002F3175">
            <w:pPr>
              <w:jc w:val="center"/>
            </w:pPr>
            <w:r>
              <w:rPr>
                <w:b/>
                <w:bCs/>
                <w:color w:val="2E75B6"/>
                <w:sz w:val="18"/>
                <w:szCs w:val="18"/>
              </w:rPr>
              <w:t>+4.28%</w:t>
            </w:r>
          </w:p>
        </w:tc>
        <w:tc>
          <w:tcPr>
            <w:tcW w:w="1080" w:type="dxa"/>
            <w:tcBorders>
              <w:top w:val="single" w:sz="1" w:space="0" w:color="CCCCCC"/>
              <w:left w:val="single" w:sz="1" w:space="0" w:color="CCCCCC"/>
              <w:bottom w:val="single" w:sz="1" w:space="0" w:color="CCCCCC"/>
              <w:right w:val="single" w:sz="1" w:space="0" w:color="CCCCCC"/>
            </w:tcBorders>
            <w:shd w:val="clear" w:color="auto" w:fill="E8F5E9"/>
            <w:tcMar>
              <w:top w:w="75" w:type="dxa"/>
              <w:left w:w="100" w:type="dxa"/>
              <w:bottom w:w="75" w:type="dxa"/>
              <w:right w:w="100" w:type="dxa"/>
            </w:tcMar>
          </w:tcPr>
          <w:p w:rsidR="00BF5A02" w:rsidRDefault="002F3175">
            <w:pPr>
              <w:jc w:val="center"/>
            </w:pPr>
            <w:r>
              <w:rPr>
                <w:color w:val="444444"/>
                <w:sz w:val="18"/>
                <w:szCs w:val="18"/>
              </w:rPr>
              <w:t>Base</w:t>
            </w:r>
          </w:p>
        </w:tc>
        <w:tc>
          <w:tcPr>
            <w:tcW w:w="1080" w:type="dxa"/>
            <w:tcBorders>
              <w:top w:val="single" w:sz="1" w:space="0" w:color="CCCCCC"/>
              <w:left w:val="single" w:sz="1" w:space="0" w:color="CCCCCC"/>
              <w:bottom w:val="single" w:sz="1" w:space="0" w:color="CCCCCC"/>
              <w:right w:val="single" w:sz="1" w:space="0" w:color="CCCCCC"/>
            </w:tcBorders>
            <w:shd w:val="clear" w:color="auto" w:fill="E8F5E9"/>
            <w:tcMar>
              <w:top w:w="75" w:type="dxa"/>
              <w:left w:w="100" w:type="dxa"/>
              <w:bottom w:w="75" w:type="dxa"/>
              <w:right w:w="100" w:type="dxa"/>
            </w:tcMar>
          </w:tcPr>
          <w:p w:rsidR="00BF5A02" w:rsidRDefault="002F3175">
            <w:pPr>
              <w:jc w:val="center"/>
            </w:pPr>
            <w:r>
              <w:rPr>
                <w:color w:val="444444"/>
                <w:sz w:val="18"/>
                <w:szCs w:val="18"/>
              </w:rPr>
              <w:t>Base</w:t>
            </w:r>
          </w:p>
        </w:tc>
        <w:tc>
          <w:tcPr>
            <w:tcW w:w="1080" w:type="dxa"/>
            <w:tcBorders>
              <w:top w:val="single" w:sz="1" w:space="0" w:color="CCCCCC"/>
              <w:left w:val="single" w:sz="1" w:space="0" w:color="CCCCCC"/>
              <w:bottom w:val="single" w:sz="1" w:space="0" w:color="CCCCCC"/>
              <w:right w:val="single" w:sz="1" w:space="0" w:color="CCCCCC"/>
            </w:tcBorders>
            <w:shd w:val="clear" w:color="auto" w:fill="E8F5E9"/>
            <w:tcMar>
              <w:top w:w="75" w:type="dxa"/>
              <w:left w:w="100" w:type="dxa"/>
              <w:bottom w:w="75" w:type="dxa"/>
              <w:right w:w="100" w:type="dxa"/>
            </w:tcMar>
          </w:tcPr>
          <w:p w:rsidR="00BF5A02" w:rsidRDefault="002F3175">
            <w:pPr>
              <w:jc w:val="center"/>
            </w:pPr>
            <w:r>
              <w:rPr>
                <w:color w:val="444444"/>
                <w:sz w:val="18"/>
                <w:szCs w:val="18"/>
              </w:rPr>
              <w:t>Base</w:t>
            </w:r>
          </w:p>
        </w:tc>
        <w:tc>
          <w:tcPr>
            <w:tcW w:w="1080" w:type="dxa"/>
            <w:tcBorders>
              <w:top w:val="single" w:sz="1" w:space="0" w:color="CCCCCC"/>
              <w:left w:val="single" w:sz="1" w:space="0" w:color="CCCCCC"/>
              <w:bottom w:val="single" w:sz="1" w:space="0" w:color="CCCCCC"/>
              <w:right w:val="single" w:sz="1" w:space="0" w:color="CCCCCC"/>
            </w:tcBorders>
            <w:shd w:val="clear" w:color="auto" w:fill="E8F5E9"/>
            <w:tcMar>
              <w:top w:w="75" w:type="dxa"/>
              <w:left w:w="100" w:type="dxa"/>
              <w:bottom w:w="75" w:type="dxa"/>
              <w:right w:w="100" w:type="dxa"/>
            </w:tcMar>
          </w:tcPr>
          <w:p w:rsidR="00BF5A02" w:rsidRDefault="002F3175">
            <w:pPr>
              <w:jc w:val="center"/>
            </w:pPr>
            <w:r>
              <w:rPr>
                <w:color w:val="444444"/>
                <w:sz w:val="18"/>
                <w:szCs w:val="18"/>
              </w:rPr>
              <w:t>Base</w:t>
            </w:r>
          </w:p>
        </w:tc>
        <w:tc>
          <w:tcPr>
            <w:tcW w:w="1480" w:type="dxa"/>
            <w:tcBorders>
              <w:top w:val="single" w:sz="1" w:space="0" w:color="CCCCCC"/>
              <w:left w:val="single" w:sz="1" w:space="0" w:color="CCCCCC"/>
              <w:bottom w:val="single" w:sz="1" w:space="0" w:color="CCCCCC"/>
              <w:right w:val="single" w:sz="1" w:space="0" w:color="CCCCCC"/>
            </w:tcBorders>
            <w:shd w:val="clear" w:color="auto" w:fill="E8F5E9"/>
            <w:tcMar>
              <w:top w:w="75" w:type="dxa"/>
              <w:left w:w="100" w:type="dxa"/>
              <w:bottom w:w="75" w:type="dxa"/>
              <w:right w:w="100" w:type="dxa"/>
            </w:tcMar>
          </w:tcPr>
          <w:p w:rsidR="00BF5A02" w:rsidRDefault="002F3175">
            <w:r>
              <w:rPr>
                <w:color w:val="1A6B3A"/>
                <w:sz w:val="15"/>
                <w:szCs w:val="15"/>
              </w:rPr>
              <w:t>The base — all alpha measured against this</w:t>
            </w:r>
          </w:p>
        </w:tc>
      </w:tr>
      <w:tr w:rsidR="00BF5A02">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color w:val="222222"/>
                <w:sz w:val="18"/>
                <w:szCs w:val="18"/>
              </w:rPr>
              <w:t>Asian Paints</w:t>
            </w:r>
          </w:p>
        </w:tc>
        <w:tc>
          <w:tcPr>
            <w:tcW w:w="10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22222"/>
                <w:sz w:val="18"/>
                <w:szCs w:val="18"/>
              </w:rPr>
              <w:t>Paint</w:t>
            </w:r>
          </w:p>
        </w:tc>
        <w:tc>
          <w:tcPr>
            <w:tcW w:w="10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+7.00%</w:t>
            </w:r>
          </w:p>
        </w:tc>
        <w:tc>
          <w:tcPr>
            <w:tcW w:w="10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+2.72%</w:t>
            </w:r>
          </w:p>
        </w:tc>
        <w:tc>
          <w:tcPr>
            <w:tcW w:w="10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+0.43%</w:t>
            </w:r>
          </w:p>
        </w:tc>
        <w:tc>
          <w:tcPr>
            <w:tcW w:w="10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8B0000"/>
                <w:sz w:val="18"/>
                <w:szCs w:val="18"/>
              </w:rPr>
              <w:t>-0.07%</w:t>
            </w:r>
          </w:p>
        </w:tc>
        <w:tc>
          <w:tcPr>
            <w:tcW w:w="10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1A6B3A"/>
                <w:sz w:val="18"/>
                <w:szCs w:val="18"/>
              </w:rPr>
              <w:t>+0.03%</w:t>
            </w:r>
          </w:p>
        </w:tc>
        <w:tc>
          <w:tcPr>
            <w:tcW w:w="14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444444"/>
                <w:sz w:val="15"/>
                <w:szCs w:val="15"/>
              </w:rPr>
              <w:t>Alpha only Pre-Diwali</w:t>
            </w:r>
          </w:p>
        </w:tc>
      </w:tr>
      <w:tr w:rsidR="00BF5A02">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color w:val="222222"/>
                <w:sz w:val="18"/>
                <w:szCs w:val="18"/>
              </w:rPr>
              <w:t>Berger Paints</w:t>
            </w:r>
          </w:p>
        </w:tc>
        <w:tc>
          <w:tcPr>
            <w:tcW w:w="10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22222"/>
                <w:sz w:val="18"/>
                <w:szCs w:val="18"/>
              </w:rPr>
              <w:t>Paint</w:t>
            </w:r>
          </w:p>
        </w:tc>
        <w:tc>
          <w:tcPr>
            <w:tcW w:w="10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+7.36%</w:t>
            </w:r>
          </w:p>
        </w:tc>
        <w:tc>
          <w:tcPr>
            <w:tcW w:w="10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+3.07%</w:t>
            </w:r>
          </w:p>
        </w:tc>
        <w:tc>
          <w:tcPr>
            <w:tcW w:w="10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+0.63%</w:t>
            </w:r>
          </w:p>
        </w:tc>
        <w:tc>
          <w:tcPr>
            <w:tcW w:w="10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1A6B3A"/>
                <w:sz w:val="18"/>
                <w:szCs w:val="18"/>
              </w:rPr>
              <w:t>+0.42%</w:t>
            </w:r>
          </w:p>
        </w:tc>
        <w:tc>
          <w:tcPr>
            <w:tcW w:w="10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1A6B3A"/>
                <w:sz w:val="18"/>
                <w:szCs w:val="18"/>
              </w:rPr>
              <w:t>+0.68%</w:t>
            </w:r>
          </w:p>
        </w:tc>
        <w:tc>
          <w:tcPr>
            <w:tcW w:w="14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444444"/>
                <w:sz w:val="15"/>
                <w:szCs w:val="15"/>
              </w:rPr>
              <w:t>Alpha only Pre-Diwali</w:t>
            </w:r>
          </w:p>
        </w:tc>
      </w:tr>
      <w:tr w:rsidR="00BF5A02">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color w:val="222222"/>
                <w:sz w:val="18"/>
                <w:szCs w:val="18"/>
              </w:rPr>
              <w:t>Kansai Nerolac</w:t>
            </w:r>
          </w:p>
        </w:tc>
        <w:tc>
          <w:tcPr>
            <w:tcW w:w="10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22222"/>
                <w:sz w:val="18"/>
                <w:szCs w:val="18"/>
              </w:rPr>
              <w:t>Paint</w:t>
            </w:r>
          </w:p>
        </w:tc>
        <w:tc>
          <w:tcPr>
            <w:tcW w:w="10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+5.24%</w:t>
            </w:r>
          </w:p>
        </w:tc>
        <w:tc>
          <w:tcPr>
            <w:tcW w:w="10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+0.96%</w:t>
            </w:r>
          </w:p>
        </w:tc>
        <w:tc>
          <w:tcPr>
            <w:tcW w:w="10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+0.28%</w:t>
            </w:r>
          </w:p>
        </w:tc>
        <w:tc>
          <w:tcPr>
            <w:tcW w:w="10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1A6B3A"/>
                <w:sz w:val="18"/>
                <w:szCs w:val="18"/>
              </w:rPr>
              <w:t>+0.11%</w:t>
            </w:r>
          </w:p>
        </w:tc>
        <w:tc>
          <w:tcPr>
            <w:tcW w:w="10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1A6B3A"/>
                <w:sz w:val="18"/>
                <w:szCs w:val="18"/>
              </w:rPr>
              <w:t>+0.18%</w:t>
            </w:r>
          </w:p>
        </w:tc>
        <w:tc>
          <w:tcPr>
            <w:tcW w:w="14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444444"/>
                <w:sz w:val="15"/>
                <w:szCs w:val="15"/>
              </w:rPr>
              <w:t>Alpha only Pre-Diwali</w:t>
            </w:r>
          </w:p>
        </w:tc>
      </w:tr>
      <w:tr w:rsidR="00BF5A02">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color w:val="222222"/>
                <w:sz w:val="18"/>
                <w:szCs w:val="18"/>
              </w:rPr>
              <w:t>Akzo Nobel</w:t>
            </w:r>
          </w:p>
        </w:tc>
        <w:tc>
          <w:tcPr>
            <w:tcW w:w="10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22222"/>
                <w:sz w:val="18"/>
                <w:szCs w:val="18"/>
              </w:rPr>
              <w:t>Paint</w:t>
            </w:r>
          </w:p>
        </w:tc>
        <w:tc>
          <w:tcPr>
            <w:tcW w:w="10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+5.13%</w:t>
            </w:r>
          </w:p>
        </w:tc>
        <w:tc>
          <w:tcPr>
            <w:tcW w:w="10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+0.85%</w:t>
            </w:r>
          </w:p>
        </w:tc>
        <w:tc>
          <w:tcPr>
            <w:tcW w:w="10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+0.28%</w:t>
            </w:r>
          </w:p>
        </w:tc>
        <w:tc>
          <w:tcPr>
            <w:tcW w:w="10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1A6B3A"/>
                <w:sz w:val="18"/>
                <w:szCs w:val="18"/>
              </w:rPr>
              <w:t>+0.18%</w:t>
            </w:r>
          </w:p>
        </w:tc>
        <w:tc>
          <w:tcPr>
            <w:tcW w:w="10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1A6B3A"/>
                <w:sz w:val="18"/>
                <w:szCs w:val="18"/>
              </w:rPr>
              <w:t>+0.37%</w:t>
            </w:r>
          </w:p>
        </w:tc>
        <w:tc>
          <w:tcPr>
            <w:tcW w:w="14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444444"/>
                <w:sz w:val="15"/>
                <w:szCs w:val="15"/>
              </w:rPr>
              <w:t>Alpha only Pre-Diwali</w:t>
            </w:r>
          </w:p>
        </w:tc>
      </w:tr>
      <w:tr w:rsidR="00BF5A02">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color w:val="222222"/>
                <w:sz w:val="18"/>
                <w:szCs w:val="18"/>
              </w:rPr>
              <w:t>Indigo Paints</w:t>
            </w:r>
          </w:p>
        </w:tc>
        <w:tc>
          <w:tcPr>
            <w:tcW w:w="10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22222"/>
                <w:sz w:val="18"/>
                <w:szCs w:val="18"/>
              </w:rPr>
              <w:t>Paint</w:t>
            </w:r>
          </w:p>
        </w:tc>
        <w:tc>
          <w:tcPr>
            <w:tcW w:w="10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+11.67%</w:t>
            </w:r>
          </w:p>
        </w:tc>
        <w:tc>
          <w:tcPr>
            <w:tcW w:w="10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+5.82%</w:t>
            </w:r>
          </w:p>
        </w:tc>
        <w:tc>
          <w:tcPr>
            <w:tcW w:w="10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+1.11%</w:t>
            </w:r>
          </w:p>
        </w:tc>
        <w:tc>
          <w:tcPr>
            <w:tcW w:w="10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1A6B3A"/>
                <w:sz w:val="18"/>
                <w:szCs w:val="18"/>
              </w:rPr>
              <w:t>+0.17%</w:t>
            </w:r>
          </w:p>
        </w:tc>
        <w:tc>
          <w:tcPr>
            <w:tcW w:w="10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1A6B3A"/>
                <w:sz w:val="18"/>
                <w:szCs w:val="18"/>
              </w:rPr>
              <w:t>+0.24%</w:t>
            </w:r>
          </w:p>
        </w:tc>
        <w:tc>
          <w:tcPr>
            <w:tcW w:w="14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888888"/>
                <w:sz w:val="15"/>
                <w:szCs w:val="15"/>
              </w:rPr>
              <w:t>Alpha only Pre-Diwali</w:t>
            </w:r>
          </w:p>
        </w:tc>
      </w:tr>
      <w:tr w:rsidR="00BF5A02">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color w:val="222222"/>
                <w:sz w:val="18"/>
                <w:szCs w:val="18"/>
              </w:rPr>
              <w:t>Shalimar Paints</w:t>
            </w:r>
          </w:p>
        </w:tc>
        <w:tc>
          <w:tcPr>
            <w:tcW w:w="10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22222"/>
                <w:sz w:val="18"/>
                <w:szCs w:val="18"/>
              </w:rPr>
              <w:t>Paint</w:t>
            </w:r>
          </w:p>
        </w:tc>
        <w:tc>
          <w:tcPr>
            <w:tcW w:w="10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+6.32%</w:t>
            </w:r>
          </w:p>
        </w:tc>
        <w:tc>
          <w:tcPr>
            <w:tcW w:w="10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+2.04%</w:t>
            </w:r>
          </w:p>
        </w:tc>
        <w:tc>
          <w:tcPr>
            <w:tcW w:w="10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+0.58%</w:t>
            </w:r>
          </w:p>
        </w:tc>
        <w:tc>
          <w:tcPr>
            <w:tcW w:w="10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1A6B3A"/>
                <w:sz w:val="18"/>
                <w:szCs w:val="18"/>
              </w:rPr>
              <w:t>+0.37%</w:t>
            </w:r>
          </w:p>
        </w:tc>
        <w:tc>
          <w:tcPr>
            <w:tcW w:w="10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1A6B3A"/>
                <w:sz w:val="18"/>
                <w:szCs w:val="18"/>
              </w:rPr>
              <w:t>+0.58%</w:t>
            </w:r>
          </w:p>
        </w:tc>
        <w:tc>
          <w:tcPr>
            <w:tcW w:w="14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444444"/>
                <w:sz w:val="15"/>
                <w:szCs w:val="15"/>
              </w:rPr>
              <w:t>Alpha only Pre-Diwali</w:t>
            </w:r>
          </w:p>
        </w:tc>
      </w:tr>
      <w:tr w:rsidR="00BF5A02">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color w:val="222222"/>
                <w:sz w:val="18"/>
                <w:szCs w:val="18"/>
              </w:rPr>
              <w:t>Maruti Suzuki</w:t>
            </w:r>
          </w:p>
        </w:tc>
        <w:tc>
          <w:tcPr>
            <w:tcW w:w="10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22222"/>
                <w:sz w:val="18"/>
                <w:szCs w:val="18"/>
              </w:rPr>
              <w:t>Auto</w:t>
            </w:r>
          </w:p>
        </w:tc>
        <w:tc>
          <w:tcPr>
            <w:tcW w:w="10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+6.95%</w:t>
            </w:r>
          </w:p>
        </w:tc>
        <w:tc>
          <w:tcPr>
            <w:tcW w:w="10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+2.67%</w:t>
            </w:r>
          </w:p>
        </w:tc>
        <w:tc>
          <w:tcPr>
            <w:tcW w:w="10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+0.72%</w:t>
            </w:r>
          </w:p>
        </w:tc>
        <w:tc>
          <w:tcPr>
            <w:tcW w:w="10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1A6B3A"/>
                <w:sz w:val="18"/>
                <w:szCs w:val="18"/>
              </w:rPr>
              <w:t>+1.83%</w:t>
            </w:r>
          </w:p>
        </w:tc>
        <w:tc>
          <w:tcPr>
            <w:tcW w:w="10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1A6B3A"/>
                <w:sz w:val="18"/>
                <w:szCs w:val="18"/>
              </w:rPr>
              <w:t>+2.40%</w:t>
            </w:r>
          </w:p>
        </w:tc>
        <w:tc>
          <w:tcPr>
            <w:tcW w:w="14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444444"/>
                <w:sz w:val="15"/>
                <w:szCs w:val="15"/>
              </w:rPr>
              <w:t>Alpha persists all 4 windows</w:t>
            </w:r>
          </w:p>
        </w:tc>
      </w:tr>
      <w:tr w:rsidR="00BF5A02">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color w:val="222222"/>
                <w:sz w:val="18"/>
                <w:szCs w:val="18"/>
              </w:rPr>
              <w:t>Tata Motors</w:t>
            </w:r>
          </w:p>
        </w:tc>
        <w:tc>
          <w:tcPr>
            <w:tcW w:w="10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22222"/>
                <w:sz w:val="18"/>
                <w:szCs w:val="18"/>
              </w:rPr>
              <w:t>Auto</w:t>
            </w:r>
          </w:p>
        </w:tc>
        <w:tc>
          <w:tcPr>
            <w:tcW w:w="10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+9.21%</w:t>
            </w:r>
          </w:p>
        </w:tc>
        <w:tc>
          <w:tcPr>
            <w:tcW w:w="10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+4.92%</w:t>
            </w:r>
          </w:p>
        </w:tc>
        <w:tc>
          <w:tcPr>
            <w:tcW w:w="10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+1.16%</w:t>
            </w:r>
          </w:p>
        </w:tc>
        <w:tc>
          <w:tcPr>
            <w:tcW w:w="10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1A6B3A"/>
                <w:sz w:val="18"/>
                <w:szCs w:val="18"/>
              </w:rPr>
              <w:t>+2.48%</w:t>
            </w:r>
          </w:p>
        </w:tc>
        <w:tc>
          <w:tcPr>
            <w:tcW w:w="10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1A6B3A"/>
                <w:sz w:val="18"/>
                <w:szCs w:val="18"/>
              </w:rPr>
              <w:t>+3.33%</w:t>
            </w:r>
          </w:p>
        </w:tc>
        <w:tc>
          <w:tcPr>
            <w:tcW w:w="14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444444"/>
                <w:sz w:val="15"/>
                <w:szCs w:val="15"/>
              </w:rPr>
              <w:t>Alpha persists all 4 windows</w:t>
            </w:r>
          </w:p>
        </w:tc>
      </w:tr>
      <w:tr w:rsidR="00BF5A02">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color w:val="222222"/>
                <w:sz w:val="18"/>
                <w:szCs w:val="18"/>
              </w:rPr>
              <w:t>M&amp;M</w:t>
            </w:r>
          </w:p>
        </w:tc>
        <w:tc>
          <w:tcPr>
            <w:tcW w:w="10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22222"/>
                <w:sz w:val="18"/>
                <w:szCs w:val="18"/>
              </w:rPr>
              <w:t>Auto</w:t>
            </w:r>
          </w:p>
        </w:tc>
        <w:tc>
          <w:tcPr>
            <w:tcW w:w="10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+9.66%</w:t>
            </w:r>
          </w:p>
        </w:tc>
        <w:tc>
          <w:tcPr>
            <w:tcW w:w="10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+5.38%</w:t>
            </w:r>
          </w:p>
        </w:tc>
        <w:tc>
          <w:tcPr>
            <w:tcW w:w="10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+1.24%</w:t>
            </w:r>
          </w:p>
        </w:tc>
        <w:tc>
          <w:tcPr>
            <w:tcW w:w="10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1A6B3A"/>
                <w:sz w:val="18"/>
                <w:szCs w:val="18"/>
              </w:rPr>
              <w:t>+2.91%</w:t>
            </w:r>
          </w:p>
        </w:tc>
        <w:tc>
          <w:tcPr>
            <w:tcW w:w="10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1A6B3A"/>
                <w:sz w:val="18"/>
                <w:szCs w:val="18"/>
              </w:rPr>
              <w:t>+4.02%</w:t>
            </w:r>
          </w:p>
        </w:tc>
        <w:tc>
          <w:tcPr>
            <w:tcW w:w="14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444444"/>
                <w:sz w:val="15"/>
                <w:szCs w:val="15"/>
              </w:rPr>
              <w:t>Alpha persists all 4 windows</w:t>
            </w:r>
          </w:p>
        </w:tc>
      </w:tr>
      <w:tr w:rsidR="00BF5A02">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color w:val="222222"/>
                <w:sz w:val="18"/>
                <w:szCs w:val="18"/>
              </w:rPr>
              <w:t>Ashok Leyland</w:t>
            </w:r>
          </w:p>
        </w:tc>
        <w:tc>
          <w:tcPr>
            <w:tcW w:w="10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22222"/>
                <w:sz w:val="18"/>
                <w:szCs w:val="18"/>
              </w:rPr>
              <w:t>Auto</w:t>
            </w:r>
          </w:p>
        </w:tc>
        <w:tc>
          <w:tcPr>
            <w:tcW w:w="10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+7.98%</w:t>
            </w:r>
          </w:p>
        </w:tc>
        <w:tc>
          <w:tcPr>
            <w:tcW w:w="10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+3.70%</w:t>
            </w:r>
          </w:p>
        </w:tc>
        <w:tc>
          <w:tcPr>
            <w:tcW w:w="10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+0.93%</w:t>
            </w:r>
          </w:p>
        </w:tc>
        <w:tc>
          <w:tcPr>
            <w:tcW w:w="10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1A6B3A"/>
                <w:sz w:val="18"/>
                <w:szCs w:val="18"/>
              </w:rPr>
              <w:t>+2.19%</w:t>
            </w:r>
          </w:p>
        </w:tc>
        <w:tc>
          <w:tcPr>
            <w:tcW w:w="10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1A6B3A"/>
                <w:sz w:val="18"/>
                <w:szCs w:val="18"/>
              </w:rPr>
              <w:t>+2.94%</w:t>
            </w:r>
          </w:p>
        </w:tc>
        <w:tc>
          <w:tcPr>
            <w:tcW w:w="14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444444"/>
                <w:sz w:val="15"/>
                <w:szCs w:val="15"/>
              </w:rPr>
              <w:t>Alpha persists all 4 windows</w:t>
            </w:r>
          </w:p>
        </w:tc>
      </w:tr>
      <w:tr w:rsidR="00BF5A02">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color w:val="222222"/>
                <w:sz w:val="18"/>
                <w:szCs w:val="18"/>
              </w:rPr>
              <w:lastRenderedPageBreak/>
              <w:t>Eicher Motors</w:t>
            </w:r>
          </w:p>
        </w:tc>
        <w:tc>
          <w:tcPr>
            <w:tcW w:w="10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22222"/>
                <w:sz w:val="18"/>
                <w:szCs w:val="18"/>
              </w:rPr>
              <w:t>Auto</w:t>
            </w:r>
          </w:p>
        </w:tc>
        <w:tc>
          <w:tcPr>
            <w:tcW w:w="10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+9.80%</w:t>
            </w:r>
          </w:p>
        </w:tc>
        <w:tc>
          <w:tcPr>
            <w:tcW w:w="10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+5.52%</w:t>
            </w:r>
          </w:p>
        </w:tc>
        <w:tc>
          <w:tcPr>
            <w:tcW w:w="10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+1.27%</w:t>
            </w:r>
          </w:p>
        </w:tc>
        <w:tc>
          <w:tcPr>
            <w:tcW w:w="10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1A6B3A"/>
                <w:sz w:val="18"/>
                <w:szCs w:val="18"/>
              </w:rPr>
              <w:t>+3.04%</w:t>
            </w:r>
          </w:p>
        </w:tc>
        <w:tc>
          <w:tcPr>
            <w:tcW w:w="10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1A6B3A"/>
                <w:sz w:val="18"/>
                <w:szCs w:val="18"/>
              </w:rPr>
              <w:t>+4.14%</w:t>
            </w:r>
          </w:p>
        </w:tc>
        <w:tc>
          <w:tcPr>
            <w:tcW w:w="14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444444"/>
                <w:sz w:val="15"/>
                <w:szCs w:val="15"/>
              </w:rPr>
              <w:t>Alpha persists all 4 windows</w:t>
            </w:r>
          </w:p>
        </w:tc>
      </w:tr>
      <w:tr w:rsidR="00BF5A02">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color w:val="222222"/>
                <w:sz w:val="18"/>
                <w:szCs w:val="18"/>
              </w:rPr>
              <w:t>Hero MotoCorp</w:t>
            </w:r>
          </w:p>
        </w:tc>
        <w:tc>
          <w:tcPr>
            <w:tcW w:w="10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22222"/>
                <w:sz w:val="18"/>
                <w:szCs w:val="18"/>
              </w:rPr>
              <w:t>Auto</w:t>
            </w:r>
          </w:p>
        </w:tc>
        <w:tc>
          <w:tcPr>
            <w:tcW w:w="10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+5.82%</w:t>
            </w:r>
          </w:p>
        </w:tc>
        <w:tc>
          <w:tcPr>
            <w:tcW w:w="10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+1.53%</w:t>
            </w:r>
          </w:p>
        </w:tc>
        <w:tc>
          <w:tcPr>
            <w:tcW w:w="10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+0.51%</w:t>
            </w:r>
          </w:p>
        </w:tc>
        <w:tc>
          <w:tcPr>
            <w:tcW w:w="10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1A6B3A"/>
                <w:sz w:val="18"/>
                <w:szCs w:val="18"/>
              </w:rPr>
              <w:t>+1.54%</w:t>
            </w:r>
          </w:p>
        </w:tc>
        <w:tc>
          <w:tcPr>
            <w:tcW w:w="10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1A6B3A"/>
                <w:sz w:val="18"/>
                <w:szCs w:val="18"/>
              </w:rPr>
              <w:t>+1.89%</w:t>
            </w:r>
          </w:p>
        </w:tc>
        <w:tc>
          <w:tcPr>
            <w:tcW w:w="14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444444"/>
                <w:sz w:val="15"/>
                <w:szCs w:val="15"/>
              </w:rPr>
              <w:t>Alpha persists all 4 windows</w:t>
            </w:r>
          </w:p>
        </w:tc>
      </w:tr>
      <w:tr w:rsidR="00BF5A02">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color w:val="222222"/>
                <w:sz w:val="18"/>
                <w:szCs w:val="18"/>
              </w:rPr>
              <w:t>Bajaj Auto</w:t>
            </w:r>
          </w:p>
        </w:tc>
        <w:tc>
          <w:tcPr>
            <w:tcW w:w="10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22222"/>
                <w:sz w:val="18"/>
                <w:szCs w:val="18"/>
              </w:rPr>
              <w:t>Auto</w:t>
            </w:r>
          </w:p>
        </w:tc>
        <w:tc>
          <w:tcPr>
            <w:tcW w:w="10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2E75B6"/>
                <w:sz w:val="18"/>
                <w:szCs w:val="18"/>
              </w:rPr>
              <w:t>+7.42%</w:t>
            </w:r>
          </w:p>
        </w:tc>
        <w:tc>
          <w:tcPr>
            <w:tcW w:w="10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b/>
                <w:bCs/>
                <w:color w:val="1A6B3A"/>
                <w:sz w:val="18"/>
                <w:szCs w:val="18"/>
              </w:rPr>
              <w:t>+3.13%</w:t>
            </w:r>
          </w:p>
        </w:tc>
        <w:tc>
          <w:tcPr>
            <w:tcW w:w="10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444444"/>
                <w:sz w:val="18"/>
                <w:szCs w:val="18"/>
              </w:rPr>
              <w:t>+0.82%</w:t>
            </w:r>
          </w:p>
        </w:tc>
        <w:tc>
          <w:tcPr>
            <w:tcW w:w="10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1A6B3A"/>
                <w:sz w:val="18"/>
                <w:szCs w:val="18"/>
              </w:rPr>
              <w:t>+2.14%</w:t>
            </w:r>
          </w:p>
        </w:tc>
        <w:tc>
          <w:tcPr>
            <w:tcW w:w="10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pPr>
              <w:jc w:val="center"/>
            </w:pPr>
            <w:r>
              <w:rPr>
                <w:color w:val="1A6B3A"/>
                <w:sz w:val="18"/>
                <w:szCs w:val="18"/>
              </w:rPr>
              <w:t>+2.81%</w:t>
            </w:r>
          </w:p>
        </w:tc>
        <w:tc>
          <w:tcPr>
            <w:tcW w:w="148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00" w:type="dxa"/>
              <w:bottom w:w="75" w:type="dxa"/>
              <w:right w:w="100" w:type="dxa"/>
            </w:tcMar>
          </w:tcPr>
          <w:p w:rsidR="00BF5A02" w:rsidRDefault="002F3175">
            <w:r>
              <w:rPr>
                <w:i/>
                <w:iCs/>
                <w:color w:val="444444"/>
                <w:sz w:val="15"/>
                <w:szCs w:val="15"/>
              </w:rPr>
              <w:t>Alpha persists all 4 windows</w:t>
            </w:r>
          </w:p>
        </w:tc>
      </w:tr>
      <w:tr w:rsidR="00BF5A02">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color w:val="222222"/>
                <w:sz w:val="18"/>
                <w:szCs w:val="18"/>
              </w:rPr>
              <w:t>TVS Motor</w:t>
            </w:r>
          </w:p>
        </w:tc>
        <w:tc>
          <w:tcPr>
            <w:tcW w:w="10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22222"/>
                <w:sz w:val="18"/>
                <w:szCs w:val="18"/>
              </w:rPr>
              <w:t>Auto</w:t>
            </w:r>
          </w:p>
        </w:tc>
        <w:tc>
          <w:tcPr>
            <w:tcW w:w="10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2E75B6"/>
                <w:sz w:val="18"/>
                <w:szCs w:val="18"/>
              </w:rPr>
              <w:t>+8.92%</w:t>
            </w:r>
          </w:p>
        </w:tc>
        <w:tc>
          <w:tcPr>
            <w:tcW w:w="10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b/>
                <w:bCs/>
                <w:color w:val="1A6B3A"/>
                <w:sz w:val="18"/>
                <w:szCs w:val="18"/>
              </w:rPr>
              <w:t>+4.63%</w:t>
            </w:r>
          </w:p>
        </w:tc>
        <w:tc>
          <w:tcPr>
            <w:tcW w:w="10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444444"/>
                <w:sz w:val="18"/>
                <w:szCs w:val="18"/>
              </w:rPr>
              <w:t>+1.11%</w:t>
            </w:r>
          </w:p>
        </w:tc>
        <w:tc>
          <w:tcPr>
            <w:tcW w:w="10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1A6B3A"/>
                <w:sz w:val="18"/>
                <w:szCs w:val="18"/>
              </w:rPr>
              <w:t>+2.66%</w:t>
            </w:r>
          </w:p>
        </w:tc>
        <w:tc>
          <w:tcPr>
            <w:tcW w:w="10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pPr>
              <w:jc w:val="center"/>
            </w:pPr>
            <w:r>
              <w:rPr>
                <w:color w:val="1A6B3A"/>
                <w:sz w:val="18"/>
                <w:szCs w:val="18"/>
              </w:rPr>
              <w:t>+3.54%</w:t>
            </w:r>
          </w:p>
        </w:tc>
        <w:tc>
          <w:tcPr>
            <w:tcW w:w="1480" w:type="dxa"/>
            <w:tcBorders>
              <w:top w:val="single" w:sz="1" w:space="0" w:color="CCCCCC"/>
              <w:left w:val="single" w:sz="1" w:space="0" w:color="CCCCCC"/>
              <w:bottom w:val="single" w:sz="1" w:space="0" w:color="CCCCCC"/>
              <w:right w:val="single" w:sz="1" w:space="0" w:color="CCCCCC"/>
            </w:tcBorders>
            <w:shd w:val="clear" w:color="auto" w:fill="F4F6F7"/>
            <w:tcMar>
              <w:top w:w="75" w:type="dxa"/>
              <w:left w:w="100" w:type="dxa"/>
              <w:bottom w:w="75" w:type="dxa"/>
              <w:right w:w="100" w:type="dxa"/>
            </w:tcMar>
          </w:tcPr>
          <w:p w:rsidR="00BF5A02" w:rsidRDefault="002F3175">
            <w:r>
              <w:rPr>
                <w:i/>
                <w:iCs/>
                <w:color w:val="444444"/>
                <w:sz w:val="15"/>
                <w:szCs w:val="15"/>
              </w:rPr>
              <w:t>Alpha persists all 4 windows</w:t>
            </w:r>
          </w:p>
        </w:tc>
      </w:tr>
    </w:tbl>
    <w:p w:rsidR="00BF5A02" w:rsidRDefault="00BF5A02">
      <w:pPr>
        <w:spacing w:before="100" w:after="100"/>
      </w:pPr>
    </w:p>
    <w:p w:rsidR="00BF5A02" w:rsidRDefault="00BF5A02">
      <w:pPr>
        <w:pBdr>
          <w:bottom w:val="single" w:sz="4" w:space="1" w:color="2980B9"/>
        </w:pBdr>
        <w:spacing w:before="180" w:after="180"/>
      </w:pPr>
    </w:p>
    <w:p w:rsidR="00BF5A02" w:rsidRDefault="002F3175">
      <w:pPr>
        <w:pStyle w:val="Heading1"/>
      </w:pPr>
      <w:r>
        <w:t>6. Final Alpha Rankings &amp; Investment Implications</w:t>
      </w:r>
    </w:p>
    <w:p w:rsidR="00BF5A02" w:rsidRDefault="002F3175">
      <w:pPr>
        <w:pStyle w:val="Heading2"/>
      </w:pPr>
      <w:r>
        <w:t>6.1 Alpha Ranking — Pre-Diwali</w:t>
      </w:r>
    </w:p>
    <w:p w:rsidR="00BF5A02" w:rsidRDefault="002F3175">
      <w:pPr>
        <w:spacing w:before="80" w:after="80"/>
      </w:pPr>
      <w:r>
        <w:rPr>
          <w:color w:val="222222"/>
        </w:rPr>
        <w:t>Ranked by statistically significant Pre-Diwali alpha over Nifty 50:</w:t>
      </w:r>
    </w:p>
    <w:p w:rsidR="00BF5A02" w:rsidRDefault="002F3175">
      <w:pPr>
        <w:pStyle w:val="ListParagraph"/>
        <w:numPr>
          <w:ilvl w:val="0"/>
          <w:numId w:val="2"/>
        </w:numPr>
        <w:spacing w:before="50" w:after="50"/>
      </w:pPr>
      <w:r>
        <w:t>1st — Eicher Motors: +5.52% alpha (p=0.000) — significant all 4 windows</w:t>
      </w:r>
    </w:p>
    <w:p w:rsidR="00BF5A02" w:rsidRDefault="002F3175">
      <w:pPr>
        <w:pStyle w:val="ListParagraph"/>
        <w:numPr>
          <w:ilvl w:val="0"/>
          <w:numId w:val="2"/>
        </w:numPr>
        <w:spacing w:before="50" w:after="50"/>
      </w:pPr>
      <w:r>
        <w:t>2nd — M&amp;M: +5.38% alpha (p=0.002) — significant all 4 windows</w:t>
      </w:r>
    </w:p>
    <w:p w:rsidR="00BF5A02" w:rsidRDefault="002F3175">
      <w:pPr>
        <w:pStyle w:val="ListParagraph"/>
        <w:numPr>
          <w:ilvl w:val="0"/>
          <w:numId w:val="2"/>
        </w:numPr>
        <w:spacing w:before="50" w:after="50"/>
      </w:pPr>
      <w:r>
        <w:t>3rd — Tata Motors: +4.92% alpha (p=0.004) — significant all 4 windows</w:t>
      </w:r>
    </w:p>
    <w:p w:rsidR="00BF5A02" w:rsidRDefault="002F3175">
      <w:pPr>
        <w:pStyle w:val="ListParagraph"/>
        <w:numPr>
          <w:ilvl w:val="0"/>
          <w:numId w:val="2"/>
        </w:numPr>
        <w:spacing w:before="50" w:after="50"/>
      </w:pPr>
      <w:r>
        <w:t>4th — TVS Motor: +4.63% alpha (p=0.000) — significant all 4 windows</w:t>
      </w:r>
    </w:p>
    <w:p w:rsidR="00BF5A02" w:rsidRDefault="002F3175">
      <w:pPr>
        <w:pStyle w:val="ListParagraph"/>
        <w:numPr>
          <w:ilvl w:val="0"/>
          <w:numId w:val="2"/>
        </w:numPr>
        <w:spacing w:before="50" w:after="50"/>
      </w:pPr>
      <w:r>
        <w:t>5th — Ashok Leyland: +3.70% alpha (p=0.016) — significant all 4 windows</w:t>
      </w:r>
    </w:p>
    <w:p w:rsidR="00BF5A02" w:rsidRDefault="002F3175">
      <w:pPr>
        <w:pStyle w:val="ListParagraph"/>
        <w:numPr>
          <w:ilvl w:val="0"/>
          <w:numId w:val="2"/>
        </w:numPr>
        <w:spacing w:before="50" w:after="50"/>
      </w:pPr>
      <w:r>
        <w:t>6th — Bajaj Auto: +3.13% alpha (p=0.000) — sig</w:t>
      </w:r>
      <w:r>
        <w:t>nificant all 4 windows</w:t>
      </w:r>
    </w:p>
    <w:p w:rsidR="00BF5A02" w:rsidRDefault="002F3175">
      <w:pPr>
        <w:pStyle w:val="ListParagraph"/>
        <w:numPr>
          <w:ilvl w:val="0"/>
          <w:numId w:val="2"/>
        </w:numPr>
        <w:spacing w:before="50" w:after="50"/>
      </w:pPr>
      <w:r>
        <w:t>7th — Berger Paints: +3.07% alpha (p=0.006) — significant Pre only</w:t>
      </w:r>
    </w:p>
    <w:p w:rsidR="00BF5A02" w:rsidRDefault="002F3175">
      <w:pPr>
        <w:pStyle w:val="ListParagraph"/>
        <w:numPr>
          <w:ilvl w:val="0"/>
          <w:numId w:val="2"/>
        </w:numPr>
        <w:spacing w:before="50" w:after="50"/>
      </w:pPr>
      <w:r>
        <w:t>8th — Asian Paints: +2.72% alpha (p=0.009) — significant Pre only</w:t>
      </w:r>
    </w:p>
    <w:p w:rsidR="00BF5A02" w:rsidRDefault="002F3175">
      <w:pPr>
        <w:pStyle w:val="ListParagraph"/>
        <w:numPr>
          <w:ilvl w:val="0"/>
          <w:numId w:val="2"/>
        </w:numPr>
        <w:spacing w:before="50" w:after="50"/>
      </w:pPr>
      <w:r>
        <w:t>9th — Maruti Suzuki: +2.67% alpha (p=0.006) — significant all 4 windows</w:t>
      </w:r>
    </w:p>
    <w:p w:rsidR="00BF5A02" w:rsidRDefault="002F3175">
      <w:pPr>
        <w:pStyle w:val="ListParagraph"/>
        <w:numPr>
          <w:ilvl w:val="0"/>
          <w:numId w:val="2"/>
        </w:numPr>
        <w:spacing w:before="50" w:after="50"/>
      </w:pPr>
      <w:r>
        <w:t>10th — Shalimar Paints: +2.0</w:t>
      </w:r>
      <w:r>
        <w:t>4% alpha (p=0.003) — significant Pre only</w:t>
      </w:r>
    </w:p>
    <w:p w:rsidR="00BF5A02" w:rsidRDefault="002F3175">
      <w:pPr>
        <w:pStyle w:val="ListParagraph"/>
        <w:numPr>
          <w:ilvl w:val="0"/>
          <w:numId w:val="2"/>
        </w:numPr>
        <w:spacing w:before="50" w:after="50"/>
      </w:pPr>
      <w:r>
        <w:t>11th — Hero MotoCorp: +1.53% alpha (p=0.010) — significant all 4 windows</w:t>
      </w:r>
    </w:p>
    <w:p w:rsidR="00BF5A02" w:rsidRDefault="002F3175">
      <w:pPr>
        <w:pStyle w:val="ListParagraph"/>
        <w:numPr>
          <w:ilvl w:val="0"/>
          <w:numId w:val="2"/>
        </w:numPr>
        <w:spacing w:before="50" w:after="50"/>
      </w:pPr>
      <w:r>
        <w:t>12th — Kansai Nerolac: +0.96% alpha (p=0.008) — significant Pre only</w:t>
      </w:r>
    </w:p>
    <w:p w:rsidR="00BF5A02" w:rsidRDefault="002F3175">
      <w:pPr>
        <w:pStyle w:val="ListParagraph"/>
        <w:numPr>
          <w:ilvl w:val="0"/>
          <w:numId w:val="2"/>
        </w:numPr>
        <w:spacing w:before="50" w:after="50"/>
      </w:pPr>
      <w:r>
        <w:t>13th — Akzo Nobel: +0.85% alpha (p=0.011) — significant Pre only</w:t>
      </w:r>
    </w:p>
    <w:p w:rsidR="00BF5A02" w:rsidRDefault="002F3175">
      <w:pPr>
        <w:pStyle w:val="ListParagraph"/>
        <w:numPr>
          <w:ilvl w:val="0"/>
          <w:numId w:val="2"/>
        </w:numPr>
        <w:spacing w:before="50" w:after="50"/>
      </w:pPr>
      <w:r>
        <w:t xml:space="preserve">14th — </w:t>
      </w:r>
      <w:r>
        <w:t>Indigo Paints: +5.82% alpha (p=0.071) — NOT significant (small sample)</w:t>
      </w:r>
    </w:p>
    <w:p w:rsidR="00BF5A02" w:rsidRDefault="00BF5A02">
      <w:pPr>
        <w:spacing w:before="100" w:after="100"/>
      </w:pPr>
    </w:p>
    <w:p w:rsidR="00BF5A02" w:rsidRDefault="002F3175">
      <w:pPr>
        <w:pStyle w:val="Heading2"/>
      </w:pPr>
      <w:r>
        <w:t>6.2 The Most Important Finding</w:t>
      </w:r>
    </w:p>
    <w:p w:rsidR="00BF5A02" w:rsidRDefault="00BF5A02">
      <w:pPr>
        <w:spacing w:before="100" w:after="100"/>
      </w:pPr>
    </w:p>
    <w:p w:rsidR="00BF5A02" w:rsidRDefault="002F3175">
      <w:pPr>
        <w:pBdr>
          <w:top w:val="single" w:sz="6" w:space="16" w:color="2980B9"/>
          <w:left w:val="single" w:sz="18" w:space="8" w:color="2980B9"/>
          <w:bottom w:val="single" w:sz="6" w:space="16" w:color="2980B9"/>
          <w:right w:val="single" w:sz="6" w:space="16" w:color="2980B9"/>
        </w:pBdr>
        <w:spacing w:before="100" w:after="100"/>
      </w:pPr>
      <w:r>
        <w:rPr>
          <w:color w:val="1A252F"/>
          <w:sz w:val="21"/>
          <w:szCs w:val="21"/>
        </w:rPr>
        <w:lastRenderedPageBreak/>
        <w:t>Auto stocks dominate the alpha rankings. The top 6 alpha generators are all auto stocks — and their alpha is significant across ALL four windows, not ju</w:t>
      </w:r>
      <w:r>
        <w:rPr>
          <w:color w:val="1A252F"/>
          <w:sz w:val="21"/>
          <w:szCs w:val="21"/>
        </w:rPr>
        <w:t>st Pre-Diwali. Paint stocks generate real but smaller alpha — and only in the Pre-Diwali window. Post-Diwali, paint stock alpha disappears while auto stock alpha persists. This confirms the fundamental demand difference: paint Diwali demand is sentiment-dr</w:t>
      </w:r>
      <w:r>
        <w:rPr>
          <w:color w:val="1A252F"/>
          <w:sz w:val="21"/>
          <w:szCs w:val="21"/>
        </w:rPr>
        <w:t>iven and front-run. Auto Diwali demand is fundamental — real vehicles are booked, delivered, and reported in sales data that continues to move stocks Post-Diwali.</w:t>
      </w:r>
    </w:p>
    <w:p w:rsidR="00BF5A02" w:rsidRDefault="00BF5A02">
      <w:pPr>
        <w:spacing w:before="100" w:after="100"/>
      </w:pPr>
    </w:p>
    <w:p w:rsidR="00BF5A02" w:rsidRDefault="002F3175">
      <w:pPr>
        <w:pStyle w:val="Heading2"/>
      </w:pPr>
      <w:r>
        <w:t>6.3 Practical Portfolio Implications</w:t>
      </w:r>
    </w:p>
    <w:p w:rsidR="00BF5A02" w:rsidRDefault="002F3175">
      <w:pPr>
        <w:pStyle w:val="ListParagraph"/>
        <w:numPr>
          <w:ilvl w:val="0"/>
          <w:numId w:val="2"/>
        </w:numPr>
        <w:spacing w:before="50" w:after="50"/>
      </w:pPr>
      <w:r>
        <w:t>If your goal is maximum Diwali alpha above Nifty — conc</w:t>
      </w:r>
      <w:r>
        <w:t>entrate in Eicher Motors and M&amp;M. Both show the highest statistically significant alpha and it persists across all windows.</w:t>
      </w:r>
    </w:p>
    <w:p w:rsidR="00BF5A02" w:rsidRDefault="002F3175">
      <w:pPr>
        <w:pStyle w:val="ListParagraph"/>
        <w:numPr>
          <w:ilvl w:val="0"/>
          <w:numId w:val="2"/>
        </w:numPr>
        <w:spacing w:before="50" w:after="50"/>
      </w:pPr>
      <w:r>
        <w:t>If your goal is consistent, lower-risk alpha — Hero MotoCorp and Maruti provide steady positive alpha with lower volatility. Hero ha</w:t>
      </w:r>
      <w:r>
        <w:t>s positive alpha in 10 of 12 years.</w:t>
      </w:r>
    </w:p>
    <w:p w:rsidR="00BF5A02" w:rsidRDefault="002F3175">
      <w:pPr>
        <w:pStyle w:val="ListParagraph"/>
        <w:numPr>
          <w:ilvl w:val="0"/>
          <w:numId w:val="2"/>
        </w:numPr>
        <w:spacing w:before="50" w:after="50"/>
      </w:pPr>
      <w:r>
        <w:t>For paint sector exposure — Berger Paints and Asian Paints offer the best Pre-Diwali alpha among paint stocks, but set the exit target around Diwali day. The alpha disappears Post-event.</w:t>
      </w:r>
    </w:p>
    <w:p w:rsidR="00BF5A02" w:rsidRDefault="002F3175">
      <w:pPr>
        <w:pStyle w:val="ListParagraph"/>
        <w:numPr>
          <w:ilvl w:val="0"/>
          <w:numId w:val="2"/>
        </w:numPr>
        <w:spacing w:before="50" w:after="50"/>
      </w:pPr>
      <w:r>
        <w:t>The Nifty ETF strategy — buying N</w:t>
      </w:r>
      <w:r>
        <w:t>ifty itself 30 days before Diwali captures +4.28% at lowest cost and risk. Outperforming this requires confident stock selection. The auto sector clearly justifies the concentration; the paint sector increasingly does not.</w:t>
      </w:r>
    </w:p>
    <w:p w:rsidR="00BF5A02" w:rsidRDefault="002F3175">
      <w:pPr>
        <w:pStyle w:val="ListParagraph"/>
        <w:numPr>
          <w:ilvl w:val="0"/>
          <w:numId w:val="2"/>
        </w:numPr>
        <w:spacing w:before="50" w:after="50"/>
      </w:pPr>
      <w:r>
        <w:t>Tax efficiency: holding through 3</w:t>
      </w:r>
      <w:r>
        <w:t>0 days Post-Diwali has tax implications (short-term capital gains). For auto stocks where Post-Diwali alpha persists, the extended hold may be justified. For paint stocks, the trade should ideally exit on or around Diwali day.</w:t>
      </w:r>
    </w:p>
    <w:p w:rsidR="00BF5A02" w:rsidRDefault="00BF5A02">
      <w:pPr>
        <w:spacing w:before="100" w:after="100"/>
      </w:pPr>
    </w:p>
    <w:p w:rsidR="00BF5A02" w:rsidRDefault="002F3175">
      <w:pPr>
        <w:spacing w:before="80" w:after="80"/>
        <w:jc w:val="center"/>
      </w:pPr>
      <w:r>
        <w:rPr>
          <w:i/>
          <w:iCs/>
          <w:color w:val="888888"/>
        </w:rPr>
        <w:t>— End of Alpha Analysis Report —</w:t>
      </w:r>
    </w:p>
    <w:p w:rsidR="00BF5A02" w:rsidRDefault="00BF5A02">
      <w:pPr>
        <w:spacing w:before="100" w:after="100"/>
      </w:pPr>
    </w:p>
    <w:p w:rsidR="00BF5A02" w:rsidRDefault="002F3175">
      <w:pPr>
        <w:spacing w:before="80" w:after="80"/>
        <w:jc w:val="center"/>
      </w:pPr>
      <w:r>
        <w:rPr>
          <w:i/>
          <w:iCs/>
          <w:color w:val="888888"/>
          <w:sz w:val="17"/>
          <w:szCs w:val="17"/>
        </w:rPr>
        <w:t>Kamal Arora  |  CFA Level II Cleared  |  14 Years — HSBC  |  For Educational and Research Purposes Only</w:t>
      </w:r>
    </w:p>
    <w:sectPr w:rsidR="00BF5A02">
      <w:headerReference w:type="default" r:id="rId7"/>
      <w:footerReference w:type="default" r:id="rId8"/>
      <w:pgSz w:w="15840" w:h="12240"/>
      <w:pgMar w:top="900" w:right="900" w:bottom="900" w:left="90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3175" w:rsidRDefault="002F3175">
      <w:r>
        <w:separator/>
      </w:r>
    </w:p>
  </w:endnote>
  <w:endnote w:type="continuationSeparator" w:id="0">
    <w:p w:rsidR="002F3175" w:rsidRDefault="002F31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5A02" w:rsidRDefault="002F3175">
    <w:pPr>
      <w:pBdr>
        <w:top w:val="single" w:sz="4" w:space="1" w:color="2C3E50"/>
      </w:pBdr>
      <w:jc w:val="center"/>
    </w:pPr>
    <w:r>
      <w:rPr>
        <w:color w:val="888888"/>
        <w:sz w:val="16"/>
        <w:szCs w:val="16"/>
      </w:rPr>
      <w:t xml:space="preserve">For educational and research purposes only. Not investment advice.  |  Page </w:t>
    </w:r>
    <w:r>
      <w:fldChar w:fldCharType="begin"/>
    </w:r>
    <w:r>
      <w:instrText>PAGE</w:instrText>
    </w:r>
    <w:r>
      <w:fldChar w:fldCharType="separate"/>
    </w:r>
    <w:r w:rsidR="000E21FC">
      <w:rPr>
        <w:noProof/>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3175" w:rsidRDefault="002F3175">
      <w:r>
        <w:separator/>
      </w:r>
    </w:p>
  </w:footnote>
  <w:footnote w:type="continuationSeparator" w:id="0">
    <w:p w:rsidR="002F3175" w:rsidRDefault="002F31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5A02" w:rsidRDefault="002F3175">
    <w:pPr>
      <w:pBdr>
        <w:bottom w:val="single" w:sz="4" w:space="1" w:color="2C3E50"/>
      </w:pBdr>
      <w:jc w:val="right"/>
    </w:pPr>
    <w:r>
      <w:rPr>
        <w:color w:val="666666"/>
        <w:sz w:val="16"/>
        <w:szCs w:val="16"/>
      </w:rPr>
      <w:t>Alpha Analysis — Diwali Seasonality  |  Paint &amp;</w:t>
    </w:r>
    <w:r>
      <w:rPr>
        <w:color w:val="666666"/>
        <w:sz w:val="16"/>
        <w:szCs w:val="16"/>
      </w:rPr>
      <w:t xml:space="preserve"> Auto Stocks vs Nifty 50  |  2014–2025  |  Kamal Arora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55732A"/>
    <w:multiLevelType w:val="hybridMultilevel"/>
    <w:tmpl w:val="C6180974"/>
    <w:lvl w:ilvl="0" w:tplc="16808BC6">
      <w:start w:val="1"/>
      <w:numFmt w:val="bullet"/>
      <w:lvlText w:val="•"/>
      <w:lvlJc w:val="left"/>
      <w:pPr>
        <w:ind w:left="720" w:hanging="360"/>
      </w:pPr>
    </w:lvl>
    <w:lvl w:ilvl="1" w:tplc="AD203364">
      <w:numFmt w:val="decimal"/>
      <w:lvlText w:val=""/>
      <w:lvlJc w:val="left"/>
    </w:lvl>
    <w:lvl w:ilvl="2" w:tplc="D05ACB10">
      <w:numFmt w:val="decimal"/>
      <w:lvlText w:val=""/>
      <w:lvlJc w:val="left"/>
    </w:lvl>
    <w:lvl w:ilvl="3" w:tplc="AF76F696">
      <w:numFmt w:val="decimal"/>
      <w:lvlText w:val=""/>
      <w:lvlJc w:val="left"/>
    </w:lvl>
    <w:lvl w:ilvl="4" w:tplc="7B6204AA">
      <w:numFmt w:val="decimal"/>
      <w:lvlText w:val=""/>
      <w:lvlJc w:val="left"/>
    </w:lvl>
    <w:lvl w:ilvl="5" w:tplc="5C3E4170">
      <w:numFmt w:val="decimal"/>
      <w:lvlText w:val=""/>
      <w:lvlJc w:val="left"/>
    </w:lvl>
    <w:lvl w:ilvl="6" w:tplc="DAD25D68">
      <w:numFmt w:val="decimal"/>
      <w:lvlText w:val=""/>
      <w:lvlJc w:val="left"/>
    </w:lvl>
    <w:lvl w:ilvl="7" w:tplc="B8F63C00">
      <w:numFmt w:val="decimal"/>
      <w:lvlText w:val=""/>
      <w:lvlJc w:val="left"/>
    </w:lvl>
    <w:lvl w:ilvl="8" w:tplc="34564DBE">
      <w:numFmt w:val="decimal"/>
      <w:lvlText w:val=""/>
      <w:lvlJc w:val="left"/>
    </w:lvl>
  </w:abstractNum>
  <w:abstractNum w:abstractNumId="1" w15:restartNumberingAfterBreak="0">
    <w:nsid w:val="69BA4443"/>
    <w:multiLevelType w:val="hybridMultilevel"/>
    <w:tmpl w:val="0B2849C8"/>
    <w:lvl w:ilvl="0" w:tplc="EFA2B526">
      <w:start w:val="1"/>
      <w:numFmt w:val="bullet"/>
      <w:lvlText w:val="●"/>
      <w:lvlJc w:val="left"/>
      <w:pPr>
        <w:ind w:left="720" w:hanging="360"/>
      </w:pPr>
    </w:lvl>
    <w:lvl w:ilvl="1" w:tplc="03AE9A22">
      <w:start w:val="1"/>
      <w:numFmt w:val="bullet"/>
      <w:lvlText w:val="○"/>
      <w:lvlJc w:val="left"/>
      <w:pPr>
        <w:ind w:left="1440" w:hanging="360"/>
      </w:pPr>
    </w:lvl>
    <w:lvl w:ilvl="2" w:tplc="B16ABA68">
      <w:start w:val="1"/>
      <w:numFmt w:val="bullet"/>
      <w:lvlText w:val="■"/>
      <w:lvlJc w:val="left"/>
      <w:pPr>
        <w:ind w:left="2160" w:hanging="360"/>
      </w:pPr>
    </w:lvl>
    <w:lvl w:ilvl="3" w:tplc="A14E94C2">
      <w:start w:val="1"/>
      <w:numFmt w:val="bullet"/>
      <w:lvlText w:val="●"/>
      <w:lvlJc w:val="left"/>
      <w:pPr>
        <w:ind w:left="2880" w:hanging="360"/>
      </w:pPr>
    </w:lvl>
    <w:lvl w:ilvl="4" w:tplc="6F70BF86">
      <w:start w:val="1"/>
      <w:numFmt w:val="bullet"/>
      <w:lvlText w:val="○"/>
      <w:lvlJc w:val="left"/>
      <w:pPr>
        <w:ind w:left="3600" w:hanging="360"/>
      </w:pPr>
    </w:lvl>
    <w:lvl w:ilvl="5" w:tplc="0F9043C8">
      <w:start w:val="1"/>
      <w:numFmt w:val="bullet"/>
      <w:lvlText w:val="■"/>
      <w:lvlJc w:val="left"/>
      <w:pPr>
        <w:ind w:left="4320" w:hanging="360"/>
      </w:pPr>
    </w:lvl>
    <w:lvl w:ilvl="6" w:tplc="AEF8CFB2">
      <w:start w:val="1"/>
      <w:numFmt w:val="bullet"/>
      <w:lvlText w:val="●"/>
      <w:lvlJc w:val="left"/>
      <w:pPr>
        <w:ind w:left="5040" w:hanging="360"/>
      </w:pPr>
    </w:lvl>
    <w:lvl w:ilvl="7" w:tplc="67C69554">
      <w:start w:val="1"/>
      <w:numFmt w:val="bullet"/>
      <w:lvlText w:val="●"/>
      <w:lvlJc w:val="left"/>
      <w:pPr>
        <w:ind w:left="5760" w:hanging="360"/>
      </w:pPr>
    </w:lvl>
    <w:lvl w:ilvl="8" w:tplc="544EC5E4">
      <w:start w:val="1"/>
      <w:numFmt w:val="bullet"/>
      <w:lvlText w:val="●"/>
      <w:lvlJc w:val="left"/>
      <w:pPr>
        <w:ind w:left="648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A02"/>
    <w:rsid w:val="000E21FC"/>
    <w:rsid w:val="002F3175"/>
    <w:rsid w:val="00BF5A02"/>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3AE5FB6-2F02-4E65-B56D-0808A5CF2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lang w:val="en-IN" w:eastAsia="en-I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spacing w:before="320" w:after="140"/>
      <w:outlineLvl w:val="0"/>
    </w:pPr>
    <w:rPr>
      <w:b/>
      <w:bCs/>
      <w:color w:val="1A252F"/>
      <w:sz w:val="40"/>
      <w:szCs w:val="40"/>
    </w:rPr>
  </w:style>
  <w:style w:type="paragraph" w:styleId="Heading2">
    <w:name w:val="heading 2"/>
    <w:qFormat/>
    <w:pPr>
      <w:spacing w:before="220" w:after="100"/>
      <w:outlineLvl w:val="1"/>
    </w:pPr>
    <w:rPr>
      <w:b/>
      <w:bCs/>
      <w:color w:val="2C3E50"/>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customStyle="1" w:styleId="font-claude-response-body">
    <w:name w:val="font-claude-response-body"/>
    <w:basedOn w:val="Normal"/>
    <w:rsid w:val="000E21FC"/>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0E21F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30304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3765</Words>
  <Characters>21466</Characters>
  <Application>Microsoft Office Word</Application>
  <DocSecurity>0</DocSecurity>
  <Lines>178</Lines>
  <Paragraphs>50</Paragraphs>
  <ScaleCrop>false</ScaleCrop>
  <Company/>
  <LinksUpToDate>false</LinksUpToDate>
  <CharactersWithSpaces>25181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Microsoft account</cp:lastModifiedBy>
  <cp:revision>2</cp:revision>
  <dcterms:created xsi:type="dcterms:W3CDTF">2026-06-16T10:13:00Z</dcterms:created>
  <dcterms:modified xsi:type="dcterms:W3CDTF">2026-06-16T10:50:00Z</dcterms:modified>
</cp:coreProperties>
</file>